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2A57" w14:textId="0D879E69" w:rsidR="00D43226" w:rsidRDefault="00D43226">
      <w:pPr>
        <w:rPr>
          <w:i/>
          <w:iCs/>
          <w:sz w:val="22"/>
          <w:szCs w:val="22"/>
          <w:u w:val="single"/>
        </w:rPr>
      </w:pPr>
      <w:r>
        <w:rPr>
          <w:sz w:val="22"/>
          <w:szCs w:val="22"/>
        </w:rPr>
        <w:t xml:space="preserve">Résumés de la thèse intitulée : </w:t>
      </w:r>
      <w:r w:rsidRPr="00D43226">
        <w:rPr>
          <w:i/>
          <w:iCs/>
          <w:sz w:val="22"/>
          <w:szCs w:val="22"/>
        </w:rPr>
        <w:t>«  Decentralized Energy Supply: Essays on Public Policies for the Energy Transition » </w:t>
      </w:r>
      <w:r>
        <w:rPr>
          <w:sz w:val="22"/>
          <w:szCs w:val="22"/>
        </w:rPr>
        <w:t xml:space="preserve">, à destination de la plateforme </w:t>
      </w:r>
      <w:r w:rsidRPr="00D43226">
        <w:rPr>
          <w:i/>
          <w:iCs/>
          <w:sz w:val="22"/>
          <w:szCs w:val="22"/>
          <w:u w:val="single"/>
        </w:rPr>
        <w:t>thèses.fr </w:t>
      </w:r>
    </w:p>
    <w:p w14:paraId="34741D30" w14:textId="77777777" w:rsidR="00D43226" w:rsidRDefault="00D43226">
      <w:pPr>
        <w:rPr>
          <w:sz w:val="22"/>
          <w:szCs w:val="22"/>
        </w:rPr>
      </w:pPr>
    </w:p>
    <w:p w14:paraId="44609807" w14:textId="62AD3109" w:rsidR="002424C0" w:rsidRDefault="002424C0">
      <w:pPr>
        <w:rPr>
          <w:sz w:val="22"/>
          <w:szCs w:val="22"/>
        </w:rPr>
      </w:pPr>
      <w:r>
        <w:rPr>
          <w:sz w:val="22"/>
          <w:szCs w:val="22"/>
        </w:rPr>
        <w:t>Mots clés : transition énergétique, politiques publiques, décentralisation, infrastructures énergétiques, réseau de chaleur urbain, solaire photovoltaïque, analyse coût-bénéfice, optimisation, quasi-expérience.</w:t>
      </w:r>
    </w:p>
    <w:p w14:paraId="25A2B408" w14:textId="77777777" w:rsidR="005836D2" w:rsidRDefault="005836D2">
      <w:pPr>
        <w:rPr>
          <w:sz w:val="22"/>
          <w:szCs w:val="22"/>
        </w:rPr>
      </w:pPr>
    </w:p>
    <w:p w14:paraId="25B42922" w14:textId="5B00402A" w:rsidR="00D35DD9" w:rsidRPr="00573EAC" w:rsidRDefault="00D35DD9">
      <w:pPr>
        <w:rPr>
          <w:sz w:val="22"/>
          <w:szCs w:val="22"/>
        </w:rPr>
      </w:pPr>
      <w:r w:rsidRPr="00573EAC">
        <w:rPr>
          <w:sz w:val="22"/>
          <w:szCs w:val="22"/>
        </w:rPr>
        <w:t>Résumé thèse</w:t>
      </w:r>
    </w:p>
    <w:p w14:paraId="75070632" w14:textId="4942F079" w:rsidR="009C2C90" w:rsidRDefault="0023321B">
      <w:pPr>
        <w:rPr>
          <w:sz w:val="22"/>
          <w:szCs w:val="22"/>
        </w:rPr>
      </w:pPr>
      <w:r w:rsidRPr="00573EAC">
        <w:rPr>
          <w:sz w:val="22"/>
          <w:szCs w:val="22"/>
        </w:rPr>
        <w:t>Réduire l’intensité carbone de la production d’énergie nécessite la décentralisation des infrastructures énergétiques</w:t>
      </w:r>
      <w:r w:rsidR="00D94D39" w:rsidRPr="00573EAC">
        <w:rPr>
          <w:sz w:val="22"/>
          <w:szCs w:val="22"/>
        </w:rPr>
        <w:t>. L</w:t>
      </w:r>
      <w:r w:rsidRPr="00573EAC">
        <w:rPr>
          <w:sz w:val="22"/>
          <w:szCs w:val="22"/>
        </w:rPr>
        <w:t>a plupart des technologies disponibles pour produire de l’énergie bas-carbone sont de petite tailles, distribuées géographiquement et i</w:t>
      </w:r>
      <w:r w:rsidR="00F375AD">
        <w:rPr>
          <w:sz w:val="22"/>
          <w:szCs w:val="22"/>
        </w:rPr>
        <w:t>mplique</w:t>
      </w:r>
      <w:r w:rsidR="00C25DCF">
        <w:rPr>
          <w:sz w:val="22"/>
          <w:szCs w:val="22"/>
        </w:rPr>
        <w:t>nt</w:t>
      </w:r>
      <w:r w:rsidR="00F375AD">
        <w:rPr>
          <w:sz w:val="22"/>
          <w:szCs w:val="22"/>
        </w:rPr>
        <w:t xml:space="preserve"> la </w:t>
      </w:r>
      <w:r w:rsidR="008175FF">
        <w:rPr>
          <w:sz w:val="22"/>
          <w:szCs w:val="22"/>
        </w:rPr>
        <w:t>décision</w:t>
      </w:r>
      <w:r w:rsidR="00F375AD">
        <w:rPr>
          <w:sz w:val="22"/>
          <w:szCs w:val="22"/>
        </w:rPr>
        <w:t xml:space="preserve"> d’</w:t>
      </w:r>
      <w:r w:rsidR="001E20CB">
        <w:rPr>
          <w:sz w:val="22"/>
          <w:szCs w:val="22"/>
        </w:rPr>
        <w:t>acteurs</w:t>
      </w:r>
      <w:r w:rsidR="00F375AD">
        <w:rPr>
          <w:sz w:val="22"/>
          <w:szCs w:val="22"/>
        </w:rPr>
        <w:t xml:space="preserve"> locaux</w:t>
      </w:r>
      <w:r w:rsidRPr="00573EAC">
        <w:rPr>
          <w:sz w:val="22"/>
          <w:szCs w:val="22"/>
        </w:rPr>
        <w:t xml:space="preserve">. </w:t>
      </w:r>
      <w:r w:rsidR="00196E0E" w:rsidRPr="00573EAC">
        <w:rPr>
          <w:sz w:val="22"/>
          <w:szCs w:val="22"/>
        </w:rPr>
        <w:t xml:space="preserve">Les coûts et les bénéfices de ces technologies </w:t>
      </w:r>
      <w:r w:rsidR="00D10A54" w:rsidRPr="00573EAC">
        <w:rPr>
          <w:sz w:val="22"/>
          <w:szCs w:val="22"/>
        </w:rPr>
        <w:t xml:space="preserve">restent mal documentés et </w:t>
      </w:r>
      <w:r w:rsidR="00196E0E" w:rsidRPr="00573EAC">
        <w:rPr>
          <w:sz w:val="22"/>
          <w:szCs w:val="22"/>
        </w:rPr>
        <w:t>varient fortement selon leur nature</w:t>
      </w:r>
      <w:r w:rsidR="00D10A54" w:rsidRPr="00573EAC">
        <w:rPr>
          <w:sz w:val="22"/>
          <w:szCs w:val="22"/>
        </w:rPr>
        <w:t xml:space="preserve"> et</w:t>
      </w:r>
      <w:r w:rsidR="00196E0E" w:rsidRPr="00573EAC">
        <w:rPr>
          <w:sz w:val="22"/>
          <w:szCs w:val="22"/>
        </w:rPr>
        <w:t xml:space="preserve"> le contexte de leur développement. </w:t>
      </w:r>
      <w:r w:rsidR="002571EF" w:rsidRPr="00573EAC">
        <w:rPr>
          <w:sz w:val="22"/>
          <w:szCs w:val="22"/>
        </w:rPr>
        <w:t xml:space="preserve">Des </w:t>
      </w:r>
      <w:r w:rsidR="00D94D39" w:rsidRPr="00573EAC">
        <w:rPr>
          <w:sz w:val="22"/>
          <w:szCs w:val="22"/>
        </w:rPr>
        <w:t xml:space="preserve">travaux de recherche sont </w:t>
      </w:r>
      <w:r w:rsidR="002571EF" w:rsidRPr="00573EAC">
        <w:rPr>
          <w:sz w:val="22"/>
          <w:szCs w:val="22"/>
        </w:rPr>
        <w:t xml:space="preserve">donc </w:t>
      </w:r>
      <w:r w:rsidR="00D94D39" w:rsidRPr="00573EAC">
        <w:rPr>
          <w:sz w:val="22"/>
          <w:szCs w:val="22"/>
        </w:rPr>
        <w:t>nécessaires pour</w:t>
      </w:r>
      <w:r w:rsidR="00F63A7D" w:rsidRPr="00573EAC">
        <w:rPr>
          <w:sz w:val="22"/>
          <w:szCs w:val="22"/>
        </w:rPr>
        <w:t>,</w:t>
      </w:r>
      <w:r w:rsidR="002571EF" w:rsidRPr="00573EAC">
        <w:rPr>
          <w:sz w:val="22"/>
          <w:szCs w:val="22"/>
        </w:rPr>
        <w:t xml:space="preserve"> d’une part</w:t>
      </w:r>
      <w:r w:rsidR="00F63A7D" w:rsidRPr="00573EAC">
        <w:rPr>
          <w:sz w:val="22"/>
          <w:szCs w:val="22"/>
        </w:rPr>
        <w:t>, mieux</w:t>
      </w:r>
      <w:r w:rsidR="002571EF" w:rsidRPr="00573EAC">
        <w:rPr>
          <w:sz w:val="22"/>
          <w:szCs w:val="22"/>
        </w:rPr>
        <w:t xml:space="preserve"> identifier </w:t>
      </w:r>
      <w:r w:rsidR="00B13574">
        <w:rPr>
          <w:sz w:val="22"/>
          <w:szCs w:val="22"/>
        </w:rPr>
        <w:t>ces</w:t>
      </w:r>
      <w:r w:rsidR="002571EF" w:rsidRPr="00573EAC">
        <w:rPr>
          <w:sz w:val="22"/>
          <w:szCs w:val="22"/>
        </w:rPr>
        <w:t xml:space="preserve"> coûts</w:t>
      </w:r>
      <w:r w:rsidR="00041B44" w:rsidRPr="00573EAC">
        <w:rPr>
          <w:sz w:val="22"/>
          <w:szCs w:val="22"/>
        </w:rPr>
        <w:t xml:space="preserve"> nets </w:t>
      </w:r>
      <w:r w:rsidR="005954C5" w:rsidRPr="00573EAC">
        <w:rPr>
          <w:sz w:val="22"/>
          <w:szCs w:val="22"/>
        </w:rPr>
        <w:t>et</w:t>
      </w:r>
      <w:r w:rsidR="00855E53" w:rsidRPr="00573EAC">
        <w:rPr>
          <w:sz w:val="22"/>
          <w:szCs w:val="22"/>
        </w:rPr>
        <w:t>,</w:t>
      </w:r>
      <w:r w:rsidR="005954C5" w:rsidRPr="00573EAC">
        <w:rPr>
          <w:sz w:val="22"/>
          <w:szCs w:val="22"/>
        </w:rPr>
        <w:t xml:space="preserve"> </w:t>
      </w:r>
      <w:r w:rsidR="002571EF" w:rsidRPr="00573EAC">
        <w:rPr>
          <w:sz w:val="22"/>
          <w:szCs w:val="22"/>
        </w:rPr>
        <w:t>d’autre part</w:t>
      </w:r>
      <w:r w:rsidR="00041B44" w:rsidRPr="00573EAC">
        <w:rPr>
          <w:sz w:val="22"/>
          <w:szCs w:val="22"/>
        </w:rPr>
        <w:t>,</w:t>
      </w:r>
      <w:r w:rsidR="002571EF" w:rsidRPr="00573EAC">
        <w:rPr>
          <w:sz w:val="22"/>
          <w:szCs w:val="22"/>
        </w:rPr>
        <w:t xml:space="preserve"> </w:t>
      </w:r>
      <w:r w:rsidR="008D39E7" w:rsidRPr="00573EAC">
        <w:rPr>
          <w:sz w:val="22"/>
          <w:szCs w:val="22"/>
        </w:rPr>
        <w:t>étudier les conditions d</w:t>
      </w:r>
      <w:r w:rsidR="00041B44" w:rsidRPr="00573EAC">
        <w:rPr>
          <w:sz w:val="22"/>
          <w:szCs w:val="22"/>
        </w:rPr>
        <w:t xml:space="preserve">’efficacité des </w:t>
      </w:r>
      <w:r w:rsidR="008D39E7" w:rsidRPr="00573EAC">
        <w:rPr>
          <w:sz w:val="22"/>
          <w:szCs w:val="22"/>
        </w:rPr>
        <w:t xml:space="preserve">instruments de </w:t>
      </w:r>
      <w:r w:rsidR="00D94D39" w:rsidRPr="00573EAC">
        <w:rPr>
          <w:sz w:val="22"/>
          <w:szCs w:val="22"/>
        </w:rPr>
        <w:t>politiques publiques</w:t>
      </w:r>
      <w:r w:rsidR="00F007D1" w:rsidRPr="00573EAC">
        <w:rPr>
          <w:sz w:val="22"/>
          <w:szCs w:val="22"/>
        </w:rPr>
        <w:t xml:space="preserve"> utilisés pour faciliter leur développement</w:t>
      </w:r>
      <w:r w:rsidR="002571EF" w:rsidRPr="00573EAC">
        <w:rPr>
          <w:sz w:val="22"/>
          <w:szCs w:val="22"/>
        </w:rPr>
        <w:t>.</w:t>
      </w:r>
      <w:r w:rsidR="00156854" w:rsidRPr="00573EAC">
        <w:rPr>
          <w:sz w:val="22"/>
          <w:szCs w:val="22"/>
        </w:rPr>
        <w:t xml:space="preserve"> </w:t>
      </w:r>
      <w:r w:rsidR="002D3A21" w:rsidRPr="004E3ABC">
        <w:rPr>
          <w:sz w:val="22"/>
          <w:szCs w:val="22"/>
        </w:rPr>
        <w:t xml:space="preserve">Cette thèse </w:t>
      </w:r>
      <w:r w:rsidR="004E3ABC">
        <w:rPr>
          <w:sz w:val="22"/>
          <w:szCs w:val="22"/>
        </w:rPr>
        <w:t xml:space="preserve">y </w:t>
      </w:r>
      <w:r w:rsidR="002D3A21" w:rsidRPr="004E3ABC">
        <w:rPr>
          <w:sz w:val="22"/>
          <w:szCs w:val="22"/>
        </w:rPr>
        <w:t>contribue</w:t>
      </w:r>
      <w:r w:rsidR="00855E53" w:rsidRPr="004E3ABC">
        <w:rPr>
          <w:sz w:val="22"/>
          <w:szCs w:val="22"/>
        </w:rPr>
        <w:t xml:space="preserve"> </w:t>
      </w:r>
      <w:r w:rsidR="002D3A21" w:rsidRPr="004E3ABC">
        <w:rPr>
          <w:sz w:val="22"/>
          <w:szCs w:val="22"/>
        </w:rPr>
        <w:t xml:space="preserve">avec trois </w:t>
      </w:r>
      <w:r w:rsidR="005F7B69">
        <w:rPr>
          <w:sz w:val="22"/>
          <w:szCs w:val="22"/>
        </w:rPr>
        <w:t>études</w:t>
      </w:r>
      <w:r w:rsidR="002D3A21" w:rsidRPr="004E3ABC">
        <w:rPr>
          <w:sz w:val="22"/>
          <w:szCs w:val="22"/>
        </w:rPr>
        <w:t>.</w:t>
      </w:r>
    </w:p>
    <w:p w14:paraId="0643FA25" w14:textId="6A529365" w:rsidR="009C2C90" w:rsidRDefault="002D3A21">
      <w:pPr>
        <w:rPr>
          <w:sz w:val="22"/>
          <w:szCs w:val="22"/>
        </w:rPr>
      </w:pPr>
      <w:r w:rsidRPr="00573EAC">
        <w:rPr>
          <w:sz w:val="22"/>
          <w:szCs w:val="22"/>
        </w:rPr>
        <w:t xml:space="preserve"> </w:t>
      </w:r>
      <w:r w:rsidR="00F63A7D" w:rsidRPr="00573EAC">
        <w:rPr>
          <w:sz w:val="22"/>
          <w:szCs w:val="22"/>
        </w:rPr>
        <w:t>L</w:t>
      </w:r>
      <w:r w:rsidR="009C2C90">
        <w:rPr>
          <w:sz w:val="22"/>
          <w:szCs w:val="22"/>
        </w:rPr>
        <w:t>e</w:t>
      </w:r>
      <w:r w:rsidR="00F63A7D" w:rsidRPr="00573EAC">
        <w:rPr>
          <w:sz w:val="22"/>
          <w:szCs w:val="22"/>
        </w:rPr>
        <w:t xml:space="preserve"> premi</w:t>
      </w:r>
      <w:r w:rsidR="009C2C90">
        <w:rPr>
          <w:sz w:val="22"/>
          <w:szCs w:val="22"/>
        </w:rPr>
        <w:t>er</w:t>
      </w:r>
      <w:r w:rsidR="00F63A7D" w:rsidRPr="00573EAC">
        <w:rPr>
          <w:sz w:val="22"/>
          <w:szCs w:val="22"/>
        </w:rPr>
        <w:t xml:space="preserve"> </w:t>
      </w:r>
      <w:r w:rsidR="007133B4">
        <w:rPr>
          <w:sz w:val="22"/>
          <w:szCs w:val="22"/>
        </w:rPr>
        <w:t>chapitre</w:t>
      </w:r>
      <w:r w:rsidR="00F63A7D" w:rsidRPr="00573EAC">
        <w:rPr>
          <w:sz w:val="22"/>
          <w:szCs w:val="22"/>
        </w:rPr>
        <w:t xml:space="preserve"> </w:t>
      </w:r>
      <w:r w:rsidR="00C72AE9" w:rsidRPr="00573EAC">
        <w:rPr>
          <w:sz w:val="22"/>
          <w:szCs w:val="22"/>
        </w:rPr>
        <w:t>compare</w:t>
      </w:r>
      <w:r w:rsidR="00F63A7D" w:rsidRPr="00573EAC">
        <w:rPr>
          <w:sz w:val="22"/>
          <w:szCs w:val="22"/>
        </w:rPr>
        <w:t xml:space="preserve"> l’efficacité </w:t>
      </w:r>
      <w:r w:rsidR="008362B0" w:rsidRPr="00573EAC">
        <w:rPr>
          <w:sz w:val="22"/>
          <w:szCs w:val="22"/>
        </w:rPr>
        <w:t xml:space="preserve">d’investissements dans un </w:t>
      </w:r>
      <w:r w:rsidR="00F63A7D" w:rsidRPr="00573EAC">
        <w:rPr>
          <w:sz w:val="22"/>
          <w:szCs w:val="22"/>
        </w:rPr>
        <w:t xml:space="preserve">réseau de chaleur urbain </w:t>
      </w:r>
      <w:r w:rsidR="00C72AE9" w:rsidRPr="00573EAC">
        <w:rPr>
          <w:sz w:val="22"/>
          <w:szCs w:val="22"/>
        </w:rPr>
        <w:t>et dans l</w:t>
      </w:r>
      <w:r w:rsidR="00F63A7D" w:rsidRPr="00573EAC">
        <w:rPr>
          <w:sz w:val="22"/>
          <w:szCs w:val="22"/>
        </w:rPr>
        <w:t xml:space="preserve">a rénovation thermique des bâtiments </w:t>
      </w:r>
      <w:r w:rsidR="001401B5" w:rsidRPr="00573EAC">
        <w:rPr>
          <w:sz w:val="22"/>
          <w:szCs w:val="22"/>
        </w:rPr>
        <w:t>du point de vue d’</w:t>
      </w:r>
      <w:r w:rsidR="00F63A7D" w:rsidRPr="00573EAC">
        <w:rPr>
          <w:sz w:val="22"/>
          <w:szCs w:val="22"/>
        </w:rPr>
        <w:t xml:space="preserve">une ville </w:t>
      </w:r>
      <w:r w:rsidR="001401B5" w:rsidRPr="00573EAC">
        <w:rPr>
          <w:sz w:val="22"/>
          <w:szCs w:val="22"/>
        </w:rPr>
        <w:t>(Bristol,</w:t>
      </w:r>
      <w:r w:rsidR="00F63A7D" w:rsidRPr="00573EAC">
        <w:rPr>
          <w:sz w:val="22"/>
          <w:szCs w:val="22"/>
        </w:rPr>
        <w:t xml:space="preserve"> </w:t>
      </w:r>
      <w:r w:rsidR="001401B5" w:rsidRPr="00573EAC">
        <w:rPr>
          <w:sz w:val="22"/>
          <w:szCs w:val="22"/>
        </w:rPr>
        <w:t>Royaume-Uni)</w:t>
      </w:r>
      <w:r w:rsidR="00F63A7D" w:rsidRPr="00573EAC">
        <w:rPr>
          <w:sz w:val="22"/>
          <w:szCs w:val="22"/>
        </w:rPr>
        <w:t xml:space="preserve"> </w:t>
      </w:r>
      <w:r w:rsidR="008362B0" w:rsidRPr="00573EAC">
        <w:rPr>
          <w:sz w:val="22"/>
          <w:szCs w:val="22"/>
        </w:rPr>
        <w:t xml:space="preserve">et </w:t>
      </w:r>
      <w:r w:rsidR="00F63A7D" w:rsidRPr="00573EAC">
        <w:rPr>
          <w:sz w:val="22"/>
          <w:szCs w:val="22"/>
        </w:rPr>
        <w:t xml:space="preserve">dans un contexte </w:t>
      </w:r>
      <w:r w:rsidR="00F45A86">
        <w:rPr>
          <w:sz w:val="22"/>
          <w:szCs w:val="22"/>
        </w:rPr>
        <w:t>de hausse</w:t>
      </w:r>
      <w:r w:rsidR="00F63A7D" w:rsidRPr="00573EAC">
        <w:rPr>
          <w:sz w:val="22"/>
          <w:szCs w:val="22"/>
        </w:rPr>
        <w:t xml:space="preserve"> </w:t>
      </w:r>
      <w:r w:rsidR="00CF3EAF">
        <w:rPr>
          <w:sz w:val="22"/>
          <w:szCs w:val="22"/>
        </w:rPr>
        <w:t>d</w:t>
      </w:r>
      <w:r w:rsidR="00F63A7D" w:rsidRPr="00573EAC">
        <w:rPr>
          <w:sz w:val="22"/>
          <w:szCs w:val="22"/>
        </w:rPr>
        <w:t>es prix de l’énergie. Le choc sur les prix de l’énergie après l’invasion de la Russie en Ukraine (Février, 2022) a des conséquences importantes sur les coûts d’abattement des deux mesures.</w:t>
      </w:r>
      <w:r w:rsidR="00A27178" w:rsidRPr="00573EAC">
        <w:rPr>
          <w:sz w:val="22"/>
          <w:szCs w:val="22"/>
        </w:rPr>
        <w:t xml:space="preserve"> </w:t>
      </w:r>
      <w:r w:rsidR="00B13574" w:rsidRPr="00B13574">
        <w:rPr>
          <w:sz w:val="22"/>
          <w:szCs w:val="22"/>
        </w:rPr>
        <w:t xml:space="preserve">De nombreuses villes ont intégré ces investissements dans leurs plans </w:t>
      </w:r>
      <w:r w:rsidR="00B13574">
        <w:rPr>
          <w:sz w:val="22"/>
          <w:szCs w:val="22"/>
        </w:rPr>
        <w:t xml:space="preserve">d’action </w:t>
      </w:r>
      <w:r w:rsidR="00B13574" w:rsidRPr="00B13574">
        <w:rPr>
          <w:sz w:val="22"/>
          <w:szCs w:val="22"/>
        </w:rPr>
        <w:t xml:space="preserve">climat, nécessitant des évaluations économiques </w:t>
      </w:r>
      <w:r w:rsidR="00B13574">
        <w:rPr>
          <w:sz w:val="22"/>
          <w:szCs w:val="22"/>
        </w:rPr>
        <w:t>robustes</w:t>
      </w:r>
      <w:r w:rsidR="00B13574" w:rsidRPr="00B13574">
        <w:rPr>
          <w:sz w:val="22"/>
          <w:szCs w:val="22"/>
        </w:rPr>
        <w:t xml:space="preserve"> pour optimiser leurs choix. </w:t>
      </w:r>
      <w:r w:rsidR="00A27178" w:rsidRPr="00573EAC">
        <w:rPr>
          <w:sz w:val="22"/>
          <w:szCs w:val="22"/>
        </w:rPr>
        <w:t xml:space="preserve"> </w:t>
      </w:r>
      <w:r w:rsidR="00D669C7" w:rsidRPr="00573EAC">
        <w:rPr>
          <w:sz w:val="22"/>
          <w:szCs w:val="22"/>
        </w:rPr>
        <w:t>Dans mon étude de cas, l</w:t>
      </w:r>
      <w:r w:rsidR="00F63A7D" w:rsidRPr="00573EAC">
        <w:rPr>
          <w:sz w:val="22"/>
          <w:szCs w:val="22"/>
        </w:rPr>
        <w:t>’adoption de trajectoire</w:t>
      </w:r>
      <w:r w:rsidR="007842D1" w:rsidRPr="00573EAC">
        <w:rPr>
          <w:sz w:val="22"/>
          <w:szCs w:val="22"/>
        </w:rPr>
        <w:t>s</w:t>
      </w:r>
      <w:r w:rsidR="00F63A7D" w:rsidRPr="00573EAC">
        <w:rPr>
          <w:sz w:val="22"/>
          <w:szCs w:val="22"/>
        </w:rPr>
        <w:t xml:space="preserve"> de prix </w:t>
      </w:r>
      <w:r w:rsidR="007842D1" w:rsidRPr="00573EAC">
        <w:rPr>
          <w:sz w:val="22"/>
          <w:szCs w:val="22"/>
        </w:rPr>
        <w:t>alignées avec le choc sur les prix de l’énergie</w:t>
      </w:r>
      <w:r w:rsidR="00F63A7D" w:rsidRPr="00573EAC">
        <w:rPr>
          <w:sz w:val="22"/>
          <w:szCs w:val="22"/>
        </w:rPr>
        <w:t xml:space="preserve"> </w:t>
      </w:r>
      <w:r w:rsidR="007842D1" w:rsidRPr="00573EAC">
        <w:rPr>
          <w:sz w:val="22"/>
          <w:szCs w:val="22"/>
        </w:rPr>
        <w:t xml:space="preserve">dans une évaluation économique </w:t>
      </w:r>
      <w:r w:rsidR="007842D1" w:rsidRPr="00573EAC">
        <w:rPr>
          <w:i/>
          <w:iCs/>
          <w:sz w:val="22"/>
          <w:szCs w:val="22"/>
        </w:rPr>
        <w:t>ex-ante</w:t>
      </w:r>
      <w:r w:rsidR="007842D1" w:rsidRPr="00573EAC">
        <w:rPr>
          <w:sz w:val="22"/>
          <w:szCs w:val="22"/>
        </w:rPr>
        <w:t xml:space="preserve"> </w:t>
      </w:r>
      <w:r w:rsidR="000250AC">
        <w:rPr>
          <w:sz w:val="22"/>
          <w:szCs w:val="22"/>
        </w:rPr>
        <w:t>peut inverser</w:t>
      </w:r>
      <w:r w:rsidR="007842D1" w:rsidRPr="00573EAC">
        <w:rPr>
          <w:sz w:val="22"/>
          <w:szCs w:val="22"/>
        </w:rPr>
        <w:t xml:space="preserve"> la séquence optimale d’implémentation des mesures </w:t>
      </w:r>
      <w:r w:rsidR="00D669C7" w:rsidRPr="00573EAC">
        <w:rPr>
          <w:sz w:val="22"/>
          <w:szCs w:val="22"/>
        </w:rPr>
        <w:t>envisagée</w:t>
      </w:r>
      <w:r w:rsidR="00F466E3" w:rsidRPr="00573EAC">
        <w:rPr>
          <w:sz w:val="22"/>
          <w:szCs w:val="22"/>
        </w:rPr>
        <w:t>s</w:t>
      </w:r>
      <w:r w:rsidR="00D669C7" w:rsidRPr="00573EAC">
        <w:rPr>
          <w:sz w:val="22"/>
          <w:szCs w:val="22"/>
        </w:rPr>
        <w:t xml:space="preserve"> par la ville</w:t>
      </w:r>
      <w:r w:rsidR="007842D1" w:rsidRPr="00573EAC">
        <w:rPr>
          <w:sz w:val="22"/>
          <w:szCs w:val="22"/>
        </w:rPr>
        <w:t>, donnant priorité au</w:t>
      </w:r>
      <w:r w:rsidR="00F466E3" w:rsidRPr="00573EAC">
        <w:rPr>
          <w:sz w:val="22"/>
          <w:szCs w:val="22"/>
        </w:rPr>
        <w:t xml:space="preserve">x investissements dans le </w:t>
      </w:r>
      <w:r w:rsidR="007842D1" w:rsidRPr="00573EAC">
        <w:rPr>
          <w:sz w:val="22"/>
          <w:szCs w:val="22"/>
        </w:rPr>
        <w:t>réseau de chaleur</w:t>
      </w:r>
      <w:r w:rsidR="00F466E3" w:rsidRPr="00573EAC">
        <w:rPr>
          <w:sz w:val="22"/>
          <w:szCs w:val="22"/>
        </w:rPr>
        <w:t xml:space="preserve"> urbain</w:t>
      </w:r>
      <w:r w:rsidR="007842D1" w:rsidRPr="00573EAC">
        <w:rPr>
          <w:sz w:val="22"/>
          <w:szCs w:val="22"/>
        </w:rPr>
        <w:t xml:space="preserve"> pour la valeur assurantielle qu’il fournit aux usagers. </w:t>
      </w:r>
    </w:p>
    <w:p w14:paraId="44ED9073" w14:textId="496142FE" w:rsidR="009C2C90" w:rsidRDefault="00664257">
      <w:pPr>
        <w:rPr>
          <w:sz w:val="22"/>
          <w:szCs w:val="22"/>
        </w:rPr>
      </w:pPr>
      <w:r w:rsidRPr="00573EAC">
        <w:rPr>
          <w:sz w:val="22"/>
          <w:szCs w:val="22"/>
        </w:rPr>
        <w:t>L</w:t>
      </w:r>
      <w:r w:rsidR="009C2C90">
        <w:rPr>
          <w:sz w:val="22"/>
          <w:szCs w:val="22"/>
        </w:rPr>
        <w:t>e</w:t>
      </w:r>
      <w:r w:rsidRPr="00573EAC">
        <w:rPr>
          <w:sz w:val="22"/>
          <w:szCs w:val="22"/>
        </w:rPr>
        <w:t xml:space="preserve"> deuxième </w:t>
      </w:r>
      <w:r w:rsidR="007133B4">
        <w:rPr>
          <w:sz w:val="22"/>
          <w:szCs w:val="22"/>
        </w:rPr>
        <w:t>chapi</w:t>
      </w:r>
      <w:r w:rsidR="0051725D">
        <w:rPr>
          <w:sz w:val="22"/>
          <w:szCs w:val="22"/>
        </w:rPr>
        <w:t>t</w:t>
      </w:r>
      <w:r w:rsidR="007133B4">
        <w:rPr>
          <w:sz w:val="22"/>
          <w:szCs w:val="22"/>
        </w:rPr>
        <w:t>re</w:t>
      </w:r>
      <w:r w:rsidRPr="00573EAC">
        <w:rPr>
          <w:sz w:val="22"/>
          <w:szCs w:val="22"/>
        </w:rPr>
        <w:t xml:space="preserve"> quantifie la mauvaise allocation dynamique des investissement</w:t>
      </w:r>
      <w:r w:rsidR="005D5BF0" w:rsidRPr="00573EAC">
        <w:rPr>
          <w:sz w:val="22"/>
          <w:szCs w:val="22"/>
        </w:rPr>
        <w:t>s</w:t>
      </w:r>
      <w:r w:rsidRPr="00573EAC">
        <w:rPr>
          <w:sz w:val="22"/>
          <w:szCs w:val="22"/>
        </w:rPr>
        <w:t xml:space="preserve"> dans l’énergie solaire</w:t>
      </w:r>
      <w:r w:rsidR="008E3369" w:rsidRPr="00573EAC">
        <w:rPr>
          <w:sz w:val="22"/>
          <w:szCs w:val="22"/>
        </w:rPr>
        <w:t xml:space="preserve"> photovoltaïque</w:t>
      </w:r>
      <w:r w:rsidRPr="00573EAC">
        <w:rPr>
          <w:sz w:val="22"/>
          <w:szCs w:val="22"/>
        </w:rPr>
        <w:t>.</w:t>
      </w:r>
      <w:r w:rsidR="005D5BF0" w:rsidRPr="00573EAC">
        <w:rPr>
          <w:sz w:val="22"/>
          <w:szCs w:val="22"/>
        </w:rPr>
        <w:t xml:space="preserve"> La l</w:t>
      </w:r>
      <w:r w:rsidR="005D5BF0" w:rsidRPr="001829F4">
        <w:rPr>
          <w:sz w:val="22"/>
          <w:szCs w:val="22"/>
        </w:rPr>
        <w:t>ittérature a étudié de façon extensive la variation spatiale des bénéfices de l’énergie solaire</w:t>
      </w:r>
      <w:r w:rsidR="005D5BF0" w:rsidRPr="00573EAC">
        <w:rPr>
          <w:sz w:val="22"/>
          <w:szCs w:val="22"/>
        </w:rPr>
        <w:t xml:space="preserve">. Cependant, il existe </w:t>
      </w:r>
      <w:r w:rsidR="009C2C90">
        <w:rPr>
          <w:sz w:val="22"/>
          <w:szCs w:val="22"/>
        </w:rPr>
        <w:t>aussi</w:t>
      </w:r>
      <w:r w:rsidR="005D5BF0" w:rsidRPr="00573EAC">
        <w:rPr>
          <w:sz w:val="22"/>
          <w:szCs w:val="22"/>
        </w:rPr>
        <w:t xml:space="preserve"> une variation importante des co</w:t>
      </w:r>
      <w:r w:rsidR="004E29B7" w:rsidRPr="00573EAC">
        <w:rPr>
          <w:sz w:val="22"/>
          <w:szCs w:val="22"/>
        </w:rPr>
        <w:t>û</w:t>
      </w:r>
      <w:r w:rsidR="005D5BF0" w:rsidRPr="00573EAC">
        <w:rPr>
          <w:sz w:val="22"/>
          <w:szCs w:val="22"/>
        </w:rPr>
        <w:t xml:space="preserve">ts </w:t>
      </w:r>
      <w:r w:rsidR="00BD3C3A" w:rsidRPr="00573EAC">
        <w:rPr>
          <w:sz w:val="22"/>
          <w:szCs w:val="22"/>
        </w:rPr>
        <w:t xml:space="preserve">entre les </w:t>
      </w:r>
      <w:r w:rsidR="00AA35BA" w:rsidRPr="00573EAC">
        <w:rPr>
          <w:sz w:val="22"/>
          <w:szCs w:val="22"/>
        </w:rPr>
        <w:t>unités de production solaire, due à de</w:t>
      </w:r>
      <w:r w:rsidR="00615F9E">
        <w:rPr>
          <w:sz w:val="22"/>
          <w:szCs w:val="22"/>
        </w:rPr>
        <w:t xml:space="preserve">s </w:t>
      </w:r>
      <w:r w:rsidR="00AA35BA" w:rsidRPr="00573EAC">
        <w:rPr>
          <w:sz w:val="22"/>
          <w:szCs w:val="22"/>
        </w:rPr>
        <w:t xml:space="preserve">économies d’échelles et </w:t>
      </w:r>
      <w:r w:rsidR="008316B2" w:rsidRPr="00573EAC">
        <w:rPr>
          <w:sz w:val="22"/>
          <w:szCs w:val="22"/>
        </w:rPr>
        <w:t>à</w:t>
      </w:r>
      <w:r w:rsidR="00AF5F25" w:rsidRPr="00573EAC">
        <w:rPr>
          <w:sz w:val="22"/>
          <w:szCs w:val="22"/>
        </w:rPr>
        <w:t xml:space="preserve"> la diversité des configurations des installations. </w:t>
      </w:r>
      <w:r w:rsidR="005D5BF0" w:rsidRPr="00573EAC">
        <w:rPr>
          <w:sz w:val="22"/>
          <w:szCs w:val="22"/>
        </w:rPr>
        <w:t>Cette hétérogénéité est d’autant plus importante lorsque l’on considère les variations des coûts dans le temps au sein et entre différents types d</w:t>
      </w:r>
      <w:r w:rsidR="00AA35BA" w:rsidRPr="00573EAC">
        <w:rPr>
          <w:sz w:val="22"/>
          <w:szCs w:val="22"/>
        </w:rPr>
        <w:t>’installations</w:t>
      </w:r>
      <w:r w:rsidR="005D5BF0" w:rsidRPr="00573EAC">
        <w:rPr>
          <w:sz w:val="22"/>
          <w:szCs w:val="22"/>
        </w:rPr>
        <w:t>.</w:t>
      </w:r>
      <w:r w:rsidR="006415DB" w:rsidRPr="00573EAC">
        <w:rPr>
          <w:sz w:val="22"/>
          <w:szCs w:val="22"/>
        </w:rPr>
        <w:t xml:space="preserve"> </w:t>
      </w:r>
      <w:r w:rsidR="005B7C72">
        <w:rPr>
          <w:sz w:val="22"/>
          <w:szCs w:val="22"/>
        </w:rPr>
        <w:t>En outre, l</w:t>
      </w:r>
      <w:r w:rsidR="00777C62" w:rsidRPr="00777C62">
        <w:rPr>
          <w:sz w:val="22"/>
          <w:szCs w:val="22"/>
        </w:rPr>
        <w:t>es politiques de soutien (obligations d’achat, enchères) ne prennent pas toujours en compte ces différences.</w:t>
      </w:r>
      <w:r w:rsidR="00777C62">
        <w:rPr>
          <w:sz w:val="22"/>
          <w:szCs w:val="22"/>
        </w:rPr>
        <w:t xml:space="preserve"> </w:t>
      </w:r>
      <w:r w:rsidR="004E29B7" w:rsidRPr="00573EAC">
        <w:rPr>
          <w:sz w:val="22"/>
          <w:szCs w:val="22"/>
        </w:rPr>
        <w:t>Nous proposons une méthodologie pour estimer une borne inférieure de la mauvaise allocation dynamique des investissement</w:t>
      </w:r>
      <w:r w:rsidR="00770844" w:rsidRPr="00573EAC">
        <w:rPr>
          <w:sz w:val="22"/>
          <w:szCs w:val="22"/>
        </w:rPr>
        <w:t>s</w:t>
      </w:r>
      <w:r w:rsidR="001161E8">
        <w:rPr>
          <w:sz w:val="22"/>
          <w:szCs w:val="22"/>
        </w:rPr>
        <w:t xml:space="preserve"> </w:t>
      </w:r>
      <w:r w:rsidR="001161E8" w:rsidRPr="00573EAC">
        <w:rPr>
          <w:sz w:val="22"/>
          <w:szCs w:val="22"/>
        </w:rPr>
        <w:t>dans le solaire</w:t>
      </w:r>
      <w:r w:rsidR="004E29B7" w:rsidRPr="00573EAC">
        <w:rPr>
          <w:sz w:val="22"/>
          <w:szCs w:val="22"/>
        </w:rPr>
        <w:t>.</w:t>
      </w:r>
      <w:r w:rsidR="00615F9E">
        <w:rPr>
          <w:sz w:val="22"/>
          <w:szCs w:val="22"/>
        </w:rPr>
        <w:t xml:space="preserve"> N</w:t>
      </w:r>
      <w:r w:rsidR="004E29B7" w:rsidRPr="00573EAC">
        <w:rPr>
          <w:sz w:val="22"/>
          <w:szCs w:val="22"/>
        </w:rPr>
        <w:t xml:space="preserve">ous </w:t>
      </w:r>
      <w:r w:rsidR="001D66CC" w:rsidRPr="00573EAC">
        <w:rPr>
          <w:sz w:val="22"/>
          <w:szCs w:val="22"/>
        </w:rPr>
        <w:t xml:space="preserve">comparons </w:t>
      </w:r>
      <w:r w:rsidR="00280C91" w:rsidRPr="00573EAC">
        <w:rPr>
          <w:sz w:val="22"/>
          <w:szCs w:val="22"/>
        </w:rPr>
        <w:t>une</w:t>
      </w:r>
      <w:r w:rsidR="001D66CC" w:rsidRPr="00573EAC">
        <w:rPr>
          <w:sz w:val="22"/>
          <w:szCs w:val="22"/>
        </w:rPr>
        <w:t xml:space="preserve"> séquence </w:t>
      </w:r>
      <w:r w:rsidR="00280C91" w:rsidRPr="00573EAC">
        <w:rPr>
          <w:sz w:val="22"/>
          <w:szCs w:val="22"/>
        </w:rPr>
        <w:t>réalisée</w:t>
      </w:r>
      <w:r w:rsidR="001D66CC" w:rsidRPr="00573EAC">
        <w:rPr>
          <w:sz w:val="22"/>
          <w:szCs w:val="22"/>
        </w:rPr>
        <w:t xml:space="preserve"> d</w:t>
      </w:r>
      <w:r w:rsidR="00280C91" w:rsidRPr="00573EAC">
        <w:rPr>
          <w:sz w:val="22"/>
          <w:szCs w:val="22"/>
        </w:rPr>
        <w:t xml:space="preserve">es </w:t>
      </w:r>
      <w:r w:rsidR="001D66CC" w:rsidRPr="00573EAC">
        <w:rPr>
          <w:sz w:val="22"/>
          <w:szCs w:val="22"/>
        </w:rPr>
        <w:t>investissements avec</w:t>
      </w:r>
      <w:r w:rsidR="004E29B7" w:rsidRPr="00573EAC">
        <w:rPr>
          <w:sz w:val="22"/>
          <w:szCs w:val="22"/>
        </w:rPr>
        <w:t xml:space="preserve"> une séquence contrefactuelle qui reproduit la même trajectoire </w:t>
      </w:r>
      <w:r w:rsidR="001D66CC" w:rsidRPr="00573EAC">
        <w:rPr>
          <w:sz w:val="22"/>
          <w:szCs w:val="22"/>
        </w:rPr>
        <w:t>d’énergie solaire produite</w:t>
      </w:r>
      <w:r w:rsidR="00280C91" w:rsidRPr="00573EAC">
        <w:rPr>
          <w:sz w:val="22"/>
          <w:szCs w:val="22"/>
        </w:rPr>
        <w:t xml:space="preserve"> chaque année</w:t>
      </w:r>
      <w:r w:rsidR="001D66CC" w:rsidRPr="00573EAC">
        <w:rPr>
          <w:sz w:val="22"/>
          <w:szCs w:val="22"/>
        </w:rPr>
        <w:t xml:space="preserve"> </w:t>
      </w:r>
      <w:r w:rsidR="00280C91" w:rsidRPr="00573EAC">
        <w:rPr>
          <w:sz w:val="22"/>
          <w:szCs w:val="22"/>
        </w:rPr>
        <w:t>mais qui</w:t>
      </w:r>
      <w:r w:rsidR="001D66CC" w:rsidRPr="00573EAC">
        <w:rPr>
          <w:sz w:val="22"/>
          <w:szCs w:val="22"/>
        </w:rPr>
        <w:t xml:space="preserve"> </w:t>
      </w:r>
      <w:r w:rsidR="00D00B03" w:rsidRPr="00573EAC">
        <w:rPr>
          <w:sz w:val="22"/>
          <w:szCs w:val="22"/>
        </w:rPr>
        <w:t>minimise</w:t>
      </w:r>
      <w:r w:rsidR="001D66CC" w:rsidRPr="00573EAC">
        <w:rPr>
          <w:sz w:val="22"/>
          <w:szCs w:val="22"/>
        </w:rPr>
        <w:t xml:space="preserve"> les co</w:t>
      </w:r>
      <w:r w:rsidR="007852E6" w:rsidRPr="00573EAC">
        <w:rPr>
          <w:sz w:val="22"/>
          <w:szCs w:val="22"/>
        </w:rPr>
        <w:t>û</w:t>
      </w:r>
      <w:r w:rsidR="001D66CC" w:rsidRPr="00573EAC">
        <w:rPr>
          <w:sz w:val="22"/>
          <w:szCs w:val="22"/>
        </w:rPr>
        <w:t>t</w:t>
      </w:r>
      <w:r w:rsidR="007852E6" w:rsidRPr="00573EAC">
        <w:rPr>
          <w:sz w:val="22"/>
          <w:szCs w:val="22"/>
        </w:rPr>
        <w:t>s</w:t>
      </w:r>
      <w:r w:rsidR="001D66CC" w:rsidRPr="00573EAC">
        <w:rPr>
          <w:sz w:val="22"/>
          <w:szCs w:val="22"/>
        </w:rPr>
        <w:t xml:space="preserve"> totaux pour réaliser cette dernière. </w:t>
      </w:r>
      <w:r w:rsidR="005D5BF0" w:rsidRPr="00573EAC">
        <w:rPr>
          <w:sz w:val="22"/>
          <w:szCs w:val="22"/>
        </w:rPr>
        <w:t>Nous appliquons cette méthodologie au cas de la France sur la période 2005—2021</w:t>
      </w:r>
      <w:r w:rsidR="00B8123B" w:rsidRPr="00573EAC">
        <w:rPr>
          <w:sz w:val="22"/>
          <w:szCs w:val="22"/>
        </w:rPr>
        <w:t xml:space="preserve"> et trouvons que la trajectoire réalisée </w:t>
      </w:r>
      <w:r w:rsidR="00A71906" w:rsidRPr="00573EAC">
        <w:rPr>
          <w:sz w:val="22"/>
          <w:szCs w:val="22"/>
        </w:rPr>
        <w:t>fut</w:t>
      </w:r>
      <w:r w:rsidR="00B8123B" w:rsidRPr="00573EAC">
        <w:rPr>
          <w:sz w:val="22"/>
          <w:szCs w:val="22"/>
        </w:rPr>
        <w:t xml:space="preserve"> éloignée de sa frontière coût-</w:t>
      </w:r>
      <w:r w:rsidR="005E5DA0" w:rsidRPr="00573EAC">
        <w:rPr>
          <w:sz w:val="22"/>
          <w:szCs w:val="22"/>
        </w:rPr>
        <w:t>efficace</w:t>
      </w:r>
      <w:r w:rsidR="00B8123B" w:rsidRPr="00573EAC">
        <w:rPr>
          <w:sz w:val="22"/>
          <w:szCs w:val="22"/>
        </w:rPr>
        <w:t xml:space="preserve">. </w:t>
      </w:r>
    </w:p>
    <w:p w14:paraId="25E6A641" w14:textId="2BBA73F2" w:rsidR="008E3369" w:rsidRPr="00573EAC" w:rsidRDefault="007133B4">
      <w:pPr>
        <w:rPr>
          <w:sz w:val="22"/>
          <w:szCs w:val="22"/>
        </w:rPr>
      </w:pPr>
      <w:r>
        <w:rPr>
          <w:sz w:val="22"/>
          <w:szCs w:val="22"/>
        </w:rPr>
        <w:lastRenderedPageBreak/>
        <w:t>Le</w:t>
      </w:r>
      <w:r w:rsidR="00770844" w:rsidRPr="00573EAC">
        <w:rPr>
          <w:sz w:val="22"/>
          <w:szCs w:val="22"/>
        </w:rPr>
        <w:t xml:space="preserve"> troisième étud</w:t>
      </w:r>
      <w:r w:rsidR="00A71906" w:rsidRPr="00573EAC">
        <w:rPr>
          <w:sz w:val="22"/>
          <w:szCs w:val="22"/>
        </w:rPr>
        <w:t>i</w:t>
      </w:r>
      <w:r w:rsidR="00963F13" w:rsidRPr="00573EAC">
        <w:rPr>
          <w:sz w:val="22"/>
          <w:szCs w:val="22"/>
        </w:rPr>
        <w:t xml:space="preserve">e </w:t>
      </w:r>
      <w:r w:rsidR="00C055A2" w:rsidRPr="00573EAC">
        <w:rPr>
          <w:sz w:val="22"/>
          <w:szCs w:val="22"/>
        </w:rPr>
        <w:t xml:space="preserve">le </w:t>
      </w:r>
      <w:r w:rsidR="00963F13" w:rsidRPr="00573EAC">
        <w:rPr>
          <w:sz w:val="22"/>
          <w:szCs w:val="22"/>
        </w:rPr>
        <w:t xml:space="preserve">fonctionnement du </w:t>
      </w:r>
      <w:r w:rsidR="0095007F" w:rsidRPr="00573EAC">
        <w:rPr>
          <w:sz w:val="22"/>
          <w:szCs w:val="22"/>
        </w:rPr>
        <w:t>« </w:t>
      </w:r>
      <w:r w:rsidR="00C055A2" w:rsidRPr="00573EAC">
        <w:rPr>
          <w:sz w:val="22"/>
          <w:szCs w:val="22"/>
        </w:rPr>
        <w:t>mille-feuille</w:t>
      </w:r>
      <w:r w:rsidR="000C01C5">
        <w:rPr>
          <w:sz w:val="22"/>
          <w:szCs w:val="22"/>
        </w:rPr>
        <w:t> »</w:t>
      </w:r>
      <w:r w:rsidR="00C055A2" w:rsidRPr="00573EAC">
        <w:rPr>
          <w:sz w:val="22"/>
          <w:szCs w:val="22"/>
        </w:rPr>
        <w:t xml:space="preserve"> </w:t>
      </w:r>
      <w:r w:rsidR="0095007F" w:rsidRPr="00573EAC">
        <w:rPr>
          <w:sz w:val="22"/>
          <w:szCs w:val="22"/>
        </w:rPr>
        <w:t>administratif </w:t>
      </w:r>
      <w:r w:rsidR="00C055A2" w:rsidRPr="00573EAC">
        <w:rPr>
          <w:sz w:val="22"/>
          <w:szCs w:val="22"/>
        </w:rPr>
        <w:t xml:space="preserve">français pour autoriser l’implantation de centrales solaires au sol. </w:t>
      </w:r>
      <w:r w:rsidR="00963F13" w:rsidRPr="00573EAC">
        <w:rPr>
          <w:sz w:val="22"/>
          <w:szCs w:val="22"/>
        </w:rPr>
        <w:t>Le</w:t>
      </w:r>
      <w:r w:rsidR="00FA37B9" w:rsidRPr="00573EAC">
        <w:rPr>
          <w:sz w:val="22"/>
          <w:szCs w:val="22"/>
        </w:rPr>
        <w:t xml:space="preserve"> déploiement spatial du solaire suit un régime régulatoire spécifique. Les zonages </w:t>
      </w:r>
      <w:r w:rsidR="00EE451B" w:rsidRPr="00573EAC">
        <w:rPr>
          <w:sz w:val="22"/>
          <w:szCs w:val="22"/>
        </w:rPr>
        <w:t xml:space="preserve">des </w:t>
      </w:r>
      <w:r w:rsidR="00FA37B9" w:rsidRPr="00573EAC">
        <w:rPr>
          <w:sz w:val="22"/>
          <w:szCs w:val="22"/>
        </w:rPr>
        <w:t xml:space="preserve">documents d’urbanisme </w:t>
      </w:r>
      <w:r w:rsidR="00F039A2" w:rsidRPr="00573EAC">
        <w:rPr>
          <w:sz w:val="22"/>
          <w:szCs w:val="22"/>
        </w:rPr>
        <w:t>au</w:t>
      </w:r>
      <w:r w:rsidR="00FA37B9" w:rsidRPr="00573EAC">
        <w:rPr>
          <w:sz w:val="22"/>
          <w:szCs w:val="22"/>
        </w:rPr>
        <w:t xml:space="preserve"> niveau </w:t>
      </w:r>
      <w:r w:rsidR="00815A25">
        <w:rPr>
          <w:sz w:val="22"/>
          <w:szCs w:val="22"/>
        </w:rPr>
        <w:t>local</w:t>
      </w:r>
      <w:r w:rsidR="00FA37B9" w:rsidRPr="00573EAC">
        <w:rPr>
          <w:sz w:val="22"/>
          <w:szCs w:val="22"/>
        </w:rPr>
        <w:t xml:space="preserve"> sont utilisés </w:t>
      </w:r>
      <w:r w:rsidR="00101D79" w:rsidRPr="00573EAC">
        <w:rPr>
          <w:sz w:val="22"/>
          <w:szCs w:val="22"/>
        </w:rPr>
        <w:t>pour définir</w:t>
      </w:r>
      <w:r w:rsidR="0037326B">
        <w:rPr>
          <w:sz w:val="22"/>
          <w:szCs w:val="22"/>
        </w:rPr>
        <w:t xml:space="preserve"> </w:t>
      </w:r>
      <w:r w:rsidR="0037326B" w:rsidRPr="00573EAC">
        <w:rPr>
          <w:sz w:val="22"/>
          <w:szCs w:val="22"/>
        </w:rPr>
        <w:t>au niveau national</w:t>
      </w:r>
      <w:r w:rsidR="00101D79" w:rsidRPr="00573EAC">
        <w:rPr>
          <w:sz w:val="22"/>
          <w:szCs w:val="22"/>
        </w:rPr>
        <w:t xml:space="preserve"> </w:t>
      </w:r>
      <w:r w:rsidR="001B62C6">
        <w:rPr>
          <w:sz w:val="22"/>
          <w:szCs w:val="22"/>
        </w:rPr>
        <w:t>l</w:t>
      </w:r>
      <w:r w:rsidR="00101D79" w:rsidRPr="00573EAC">
        <w:rPr>
          <w:sz w:val="22"/>
          <w:szCs w:val="22"/>
        </w:rPr>
        <w:t xml:space="preserve">es conditions </w:t>
      </w:r>
      <w:r w:rsidR="00FA37B9" w:rsidRPr="00573EAC">
        <w:rPr>
          <w:sz w:val="22"/>
          <w:szCs w:val="22"/>
        </w:rPr>
        <w:t>d’éligibilité</w:t>
      </w:r>
      <w:r w:rsidR="00101D79" w:rsidRPr="00573EAC">
        <w:rPr>
          <w:sz w:val="22"/>
          <w:szCs w:val="22"/>
        </w:rPr>
        <w:t xml:space="preserve"> d’un terrain </w:t>
      </w:r>
      <w:r w:rsidR="00415325">
        <w:rPr>
          <w:sz w:val="22"/>
          <w:szCs w:val="22"/>
        </w:rPr>
        <w:t xml:space="preserve">pour une </w:t>
      </w:r>
      <w:r w:rsidR="00101D79" w:rsidRPr="00573EAC">
        <w:rPr>
          <w:sz w:val="22"/>
          <w:szCs w:val="22"/>
        </w:rPr>
        <w:t xml:space="preserve">installation solaire. </w:t>
      </w:r>
      <w:r w:rsidR="004D1346">
        <w:rPr>
          <w:sz w:val="22"/>
          <w:szCs w:val="22"/>
        </w:rPr>
        <w:t>Cependant, l</w:t>
      </w:r>
      <w:r w:rsidR="004D1346" w:rsidRPr="00573EAC">
        <w:rPr>
          <w:sz w:val="22"/>
          <w:szCs w:val="22"/>
        </w:rPr>
        <w:t xml:space="preserve">a diversité des </w:t>
      </w:r>
      <w:r w:rsidR="004D1346">
        <w:rPr>
          <w:sz w:val="22"/>
          <w:szCs w:val="22"/>
        </w:rPr>
        <w:t xml:space="preserve">cadres régulatoires pour l’aménagement du territoire -- établis au niveau communal ou inter-communal -- </w:t>
      </w:r>
      <w:r w:rsidR="004D1346" w:rsidRPr="00573EAC">
        <w:rPr>
          <w:sz w:val="22"/>
          <w:szCs w:val="22"/>
        </w:rPr>
        <w:t>créent des décalages</w:t>
      </w:r>
      <w:r w:rsidR="004D1346" w:rsidRPr="001F1ADB">
        <w:rPr>
          <w:sz w:val="22"/>
          <w:szCs w:val="22"/>
        </w:rPr>
        <w:t xml:space="preserve"> </w:t>
      </w:r>
      <w:r w:rsidR="004D1346">
        <w:rPr>
          <w:sz w:val="22"/>
          <w:szCs w:val="22"/>
        </w:rPr>
        <w:t xml:space="preserve">entre les juridictions </w:t>
      </w:r>
      <w:r w:rsidR="004D1346" w:rsidRPr="001F1ADB">
        <w:rPr>
          <w:sz w:val="22"/>
          <w:szCs w:val="22"/>
        </w:rPr>
        <w:t xml:space="preserve">dans l'application </w:t>
      </w:r>
      <w:r w:rsidR="004D1346">
        <w:rPr>
          <w:sz w:val="22"/>
          <w:szCs w:val="22"/>
        </w:rPr>
        <w:t xml:space="preserve">de la régulation nationale. </w:t>
      </w:r>
      <w:r w:rsidR="00D61ADE">
        <w:rPr>
          <w:sz w:val="22"/>
          <w:szCs w:val="22"/>
        </w:rPr>
        <w:t>J</w:t>
      </w:r>
      <w:r w:rsidR="00F02A71">
        <w:rPr>
          <w:sz w:val="22"/>
          <w:szCs w:val="22"/>
        </w:rPr>
        <w:t>’</w:t>
      </w:r>
      <w:r w:rsidR="008F54B7">
        <w:rPr>
          <w:sz w:val="22"/>
          <w:szCs w:val="22"/>
        </w:rPr>
        <w:t>é</w:t>
      </w:r>
      <w:r w:rsidR="00F02A71">
        <w:rPr>
          <w:sz w:val="22"/>
          <w:szCs w:val="22"/>
        </w:rPr>
        <w:t>tudie</w:t>
      </w:r>
      <w:r w:rsidR="001F1ADB" w:rsidRPr="00573EAC">
        <w:rPr>
          <w:sz w:val="22"/>
          <w:szCs w:val="22"/>
        </w:rPr>
        <w:t xml:space="preserve"> comment cette articulation impacte la quantité de terres allouées aux centrales solaires. </w:t>
      </w:r>
      <w:r w:rsidR="001F1ADB">
        <w:rPr>
          <w:sz w:val="22"/>
          <w:szCs w:val="22"/>
        </w:rPr>
        <w:t xml:space="preserve"> </w:t>
      </w:r>
      <w:r w:rsidR="007D3171" w:rsidRPr="00573EAC">
        <w:rPr>
          <w:sz w:val="22"/>
          <w:szCs w:val="22"/>
        </w:rPr>
        <w:t>Je trouve que l</w:t>
      </w:r>
      <w:r w:rsidR="00B8123B" w:rsidRPr="00573EAC">
        <w:rPr>
          <w:sz w:val="22"/>
          <w:szCs w:val="22"/>
        </w:rPr>
        <w:t xml:space="preserve">es documents d’urbanisme avec plus de </w:t>
      </w:r>
      <w:r w:rsidR="00004B5B">
        <w:rPr>
          <w:sz w:val="22"/>
          <w:szCs w:val="22"/>
        </w:rPr>
        <w:t>catégories</w:t>
      </w:r>
      <w:r w:rsidR="00B8123B" w:rsidRPr="00573EAC">
        <w:rPr>
          <w:sz w:val="22"/>
          <w:szCs w:val="22"/>
        </w:rPr>
        <w:t xml:space="preserve"> </w:t>
      </w:r>
      <w:r w:rsidR="006C0C69">
        <w:rPr>
          <w:sz w:val="22"/>
          <w:szCs w:val="22"/>
        </w:rPr>
        <w:t xml:space="preserve">de zonages </w:t>
      </w:r>
      <w:r w:rsidR="00B8123B" w:rsidRPr="00573EAC">
        <w:rPr>
          <w:sz w:val="22"/>
          <w:szCs w:val="22"/>
        </w:rPr>
        <w:t>permettent un meilleur ciblage des terres disponibles pour le solaire</w:t>
      </w:r>
      <w:r w:rsidR="00C75467">
        <w:rPr>
          <w:sz w:val="22"/>
          <w:szCs w:val="22"/>
        </w:rPr>
        <w:t xml:space="preserve">. Je trouve aussi </w:t>
      </w:r>
      <w:r w:rsidR="00921ACF" w:rsidRPr="00573EAC">
        <w:rPr>
          <w:sz w:val="22"/>
          <w:szCs w:val="22"/>
        </w:rPr>
        <w:t>que l</w:t>
      </w:r>
      <w:r w:rsidR="00B8123B" w:rsidRPr="00573EAC">
        <w:rPr>
          <w:sz w:val="22"/>
          <w:szCs w:val="22"/>
        </w:rPr>
        <w:t xml:space="preserve">es documents d’urbanisme mis à jour récemment </w:t>
      </w:r>
      <w:r w:rsidR="00656B08">
        <w:rPr>
          <w:sz w:val="22"/>
          <w:szCs w:val="22"/>
        </w:rPr>
        <w:t xml:space="preserve">et </w:t>
      </w:r>
      <w:r w:rsidR="00B8123B" w:rsidRPr="00573EAC">
        <w:rPr>
          <w:sz w:val="22"/>
          <w:szCs w:val="22"/>
        </w:rPr>
        <w:t xml:space="preserve">intégrés au niveau de </w:t>
      </w:r>
      <w:r w:rsidR="00D36835">
        <w:rPr>
          <w:sz w:val="22"/>
          <w:szCs w:val="22"/>
        </w:rPr>
        <w:t>l</w:t>
      </w:r>
      <w:r w:rsidR="00B8123B" w:rsidRPr="00573EAC">
        <w:rPr>
          <w:sz w:val="22"/>
          <w:szCs w:val="22"/>
        </w:rPr>
        <w:t>’</w:t>
      </w:r>
      <w:r w:rsidR="009C2C90" w:rsidRPr="00573EAC">
        <w:rPr>
          <w:sz w:val="22"/>
          <w:szCs w:val="22"/>
        </w:rPr>
        <w:t>inter</w:t>
      </w:r>
      <w:r w:rsidR="009C2C90">
        <w:rPr>
          <w:sz w:val="22"/>
          <w:szCs w:val="22"/>
        </w:rPr>
        <w:t>c</w:t>
      </w:r>
      <w:r w:rsidR="009C2C90" w:rsidRPr="00573EAC">
        <w:rPr>
          <w:sz w:val="22"/>
          <w:szCs w:val="22"/>
        </w:rPr>
        <w:t>ommunalité</w:t>
      </w:r>
      <w:r w:rsidR="00B8123B" w:rsidRPr="00573EAC">
        <w:rPr>
          <w:sz w:val="22"/>
          <w:szCs w:val="22"/>
        </w:rPr>
        <w:t xml:space="preserve"> entravent l’allocation des </w:t>
      </w:r>
      <w:r w:rsidR="000B24D5" w:rsidRPr="00573EAC">
        <w:rPr>
          <w:sz w:val="22"/>
          <w:szCs w:val="22"/>
        </w:rPr>
        <w:t>terres</w:t>
      </w:r>
      <w:r w:rsidR="00B8123B" w:rsidRPr="00573EAC">
        <w:rPr>
          <w:sz w:val="22"/>
          <w:szCs w:val="22"/>
        </w:rPr>
        <w:t xml:space="preserve"> au solaire car</w:t>
      </w:r>
      <w:r w:rsidR="006B6518" w:rsidRPr="00573EAC">
        <w:rPr>
          <w:sz w:val="22"/>
          <w:szCs w:val="22"/>
        </w:rPr>
        <w:t xml:space="preserve"> </w:t>
      </w:r>
      <w:r w:rsidR="007556F9" w:rsidRPr="00573EAC">
        <w:rPr>
          <w:sz w:val="22"/>
          <w:szCs w:val="22"/>
        </w:rPr>
        <w:t xml:space="preserve">ils </w:t>
      </w:r>
      <w:r w:rsidR="006B6518" w:rsidRPr="00573EAC">
        <w:rPr>
          <w:sz w:val="22"/>
          <w:szCs w:val="22"/>
        </w:rPr>
        <w:t>doivent</w:t>
      </w:r>
      <w:r w:rsidR="00B8123B" w:rsidRPr="00573EAC">
        <w:rPr>
          <w:sz w:val="22"/>
          <w:szCs w:val="22"/>
        </w:rPr>
        <w:t xml:space="preserve"> </w:t>
      </w:r>
      <w:r w:rsidR="006B6518" w:rsidRPr="00573EAC">
        <w:rPr>
          <w:sz w:val="22"/>
          <w:szCs w:val="22"/>
        </w:rPr>
        <w:t xml:space="preserve">intégrer </w:t>
      </w:r>
      <w:r w:rsidR="00B8123B" w:rsidRPr="00573EAC">
        <w:rPr>
          <w:sz w:val="22"/>
          <w:szCs w:val="22"/>
        </w:rPr>
        <w:t>d’autres objectifs</w:t>
      </w:r>
      <w:r w:rsidR="00FC2FE0">
        <w:rPr>
          <w:sz w:val="22"/>
          <w:szCs w:val="22"/>
        </w:rPr>
        <w:t>,</w:t>
      </w:r>
      <w:r w:rsidR="006B6518" w:rsidRPr="00573EAC">
        <w:rPr>
          <w:sz w:val="22"/>
          <w:szCs w:val="22"/>
        </w:rPr>
        <w:t xml:space="preserve"> notamment sur l’artificialisation</w:t>
      </w:r>
      <w:r w:rsidR="00CD1A8D" w:rsidRPr="00573EAC">
        <w:rPr>
          <w:sz w:val="22"/>
          <w:szCs w:val="22"/>
        </w:rPr>
        <w:t xml:space="preserve"> des terres</w:t>
      </w:r>
      <w:r w:rsidR="00B8123B" w:rsidRPr="00573EAC">
        <w:rPr>
          <w:sz w:val="22"/>
          <w:szCs w:val="22"/>
        </w:rPr>
        <w:t xml:space="preserve">. </w:t>
      </w:r>
    </w:p>
    <w:p w14:paraId="63FBF58A" w14:textId="77777777" w:rsidR="00E96BEF" w:rsidRDefault="00E96BEF">
      <w:pPr>
        <w:rPr>
          <w:sz w:val="22"/>
          <w:szCs w:val="22"/>
        </w:rPr>
      </w:pPr>
    </w:p>
    <w:p w14:paraId="4275B578" w14:textId="4B826225" w:rsidR="00A31D67" w:rsidRPr="00FF4326" w:rsidRDefault="003736A6">
      <w:pPr>
        <w:rPr>
          <w:sz w:val="22"/>
          <w:szCs w:val="22"/>
          <w:lang w:val="en-US"/>
        </w:rPr>
      </w:pPr>
      <w:r>
        <w:rPr>
          <w:sz w:val="22"/>
          <w:szCs w:val="22"/>
          <w:lang w:val="en-US"/>
        </w:rPr>
        <w:t>Thesis Summary</w:t>
      </w:r>
      <w:r w:rsidR="00C3457A" w:rsidRPr="00FF4326">
        <w:rPr>
          <w:sz w:val="22"/>
          <w:szCs w:val="22"/>
          <w:lang w:val="en-US"/>
        </w:rPr>
        <w:t xml:space="preserve"> (EN). </w:t>
      </w:r>
    </w:p>
    <w:p w14:paraId="48C02C47" w14:textId="52517B92" w:rsidR="00C3457A" w:rsidRDefault="00C3457A" w:rsidP="00C3457A">
      <w:pPr>
        <w:rPr>
          <w:sz w:val="22"/>
          <w:szCs w:val="22"/>
          <w:lang w:val="en-US"/>
        </w:rPr>
      </w:pPr>
      <w:r w:rsidRPr="00C3457A">
        <w:rPr>
          <w:sz w:val="22"/>
          <w:szCs w:val="22"/>
          <w:lang w:val="en-US"/>
        </w:rPr>
        <w:t xml:space="preserve">Reducing the carbon intensity of energy production requires the decentralization of energy infrastructures. </w:t>
      </w:r>
      <w:r w:rsidR="00A05DDC" w:rsidRPr="00F375AD">
        <w:rPr>
          <w:sz w:val="22"/>
          <w:szCs w:val="22"/>
          <w:lang w:val="en-US"/>
        </w:rPr>
        <w:t>Most of the technologies available for low-carbon energy production are small-scaled, geographically distributed, and involve local actors in decision-making.</w:t>
      </w:r>
      <w:r w:rsidR="00A05DDC" w:rsidRPr="00393957">
        <w:rPr>
          <w:sz w:val="22"/>
          <w:szCs w:val="22"/>
          <w:lang w:val="en-US"/>
        </w:rPr>
        <w:t xml:space="preserve"> </w:t>
      </w:r>
      <w:r w:rsidR="00A05DDC">
        <w:rPr>
          <w:sz w:val="22"/>
          <w:szCs w:val="22"/>
          <w:lang w:val="en-US"/>
        </w:rPr>
        <w:t>T</w:t>
      </w:r>
      <w:r w:rsidRPr="00C3457A">
        <w:rPr>
          <w:sz w:val="22"/>
          <w:szCs w:val="22"/>
          <w:lang w:val="en-US"/>
        </w:rPr>
        <w:t xml:space="preserve">he costs and benefits of these technologies </w:t>
      </w:r>
      <w:r w:rsidR="00335E6D">
        <w:rPr>
          <w:sz w:val="22"/>
          <w:szCs w:val="22"/>
          <w:lang w:val="en-US"/>
        </w:rPr>
        <w:t>remain</w:t>
      </w:r>
      <w:r w:rsidRPr="00C3457A">
        <w:rPr>
          <w:sz w:val="22"/>
          <w:szCs w:val="22"/>
          <w:lang w:val="en-US"/>
        </w:rPr>
        <w:t xml:space="preserve"> poorly documented and vary </w:t>
      </w:r>
      <w:r w:rsidR="00335E6D">
        <w:rPr>
          <w:sz w:val="22"/>
          <w:szCs w:val="22"/>
          <w:lang w:val="en-US"/>
        </w:rPr>
        <w:t>greatly</w:t>
      </w:r>
      <w:r w:rsidRPr="00C3457A">
        <w:rPr>
          <w:sz w:val="22"/>
          <w:szCs w:val="22"/>
          <w:lang w:val="en-US"/>
        </w:rPr>
        <w:t xml:space="preserve"> depending on their nature and the context of their development. </w:t>
      </w:r>
      <w:r w:rsidR="005031AD">
        <w:rPr>
          <w:sz w:val="22"/>
          <w:szCs w:val="22"/>
          <w:lang w:val="en-US"/>
        </w:rPr>
        <w:t>More r</w:t>
      </w:r>
      <w:r w:rsidRPr="00C3457A">
        <w:rPr>
          <w:sz w:val="22"/>
          <w:szCs w:val="22"/>
          <w:lang w:val="en-US"/>
        </w:rPr>
        <w:t xml:space="preserve">esearch is </w:t>
      </w:r>
      <w:r w:rsidR="00335E6D">
        <w:rPr>
          <w:sz w:val="22"/>
          <w:szCs w:val="22"/>
          <w:lang w:val="en-US"/>
        </w:rPr>
        <w:t xml:space="preserve">thus </w:t>
      </w:r>
      <w:r w:rsidRPr="00C3457A">
        <w:rPr>
          <w:sz w:val="22"/>
          <w:szCs w:val="22"/>
          <w:lang w:val="en-US"/>
        </w:rPr>
        <w:t xml:space="preserve">needed to better identify the net costs </w:t>
      </w:r>
      <w:r w:rsidRPr="0001539F">
        <w:rPr>
          <w:sz w:val="22"/>
          <w:szCs w:val="22"/>
          <w:lang w:val="en-US"/>
        </w:rPr>
        <w:t xml:space="preserve">of </w:t>
      </w:r>
      <w:r w:rsidR="00335E6D" w:rsidRPr="0001539F">
        <w:rPr>
          <w:sz w:val="22"/>
          <w:szCs w:val="22"/>
          <w:lang w:val="en-US"/>
        </w:rPr>
        <w:t>decentralized energy</w:t>
      </w:r>
      <w:r w:rsidRPr="0001539F">
        <w:rPr>
          <w:sz w:val="22"/>
          <w:szCs w:val="22"/>
          <w:lang w:val="en-US"/>
        </w:rPr>
        <w:t xml:space="preserve"> infrastructures</w:t>
      </w:r>
      <w:r w:rsidRPr="00C3457A">
        <w:rPr>
          <w:sz w:val="22"/>
          <w:szCs w:val="22"/>
          <w:lang w:val="en-US"/>
        </w:rPr>
        <w:t xml:space="preserve"> and to study the effectiveness of public policy instruments used to facilitate their development. </w:t>
      </w:r>
      <w:r w:rsidR="00335E6D" w:rsidRPr="00393957">
        <w:rPr>
          <w:sz w:val="22"/>
          <w:szCs w:val="22"/>
          <w:lang w:val="en-US"/>
        </w:rPr>
        <w:t xml:space="preserve">I contribute to this topic with three independent </w:t>
      </w:r>
      <w:r w:rsidR="00335E6D" w:rsidRPr="0001539F">
        <w:rPr>
          <w:sz w:val="22"/>
          <w:szCs w:val="22"/>
          <w:lang w:val="en-US"/>
        </w:rPr>
        <w:t>works.</w:t>
      </w:r>
    </w:p>
    <w:p w14:paraId="04E290D0" w14:textId="07E4FA07" w:rsidR="00335E6D" w:rsidRDefault="00C3457A" w:rsidP="00C3457A">
      <w:pPr>
        <w:rPr>
          <w:sz w:val="22"/>
          <w:szCs w:val="22"/>
          <w:lang w:val="en-US"/>
        </w:rPr>
      </w:pPr>
      <w:r w:rsidRPr="00C3457A">
        <w:rPr>
          <w:sz w:val="22"/>
          <w:szCs w:val="22"/>
          <w:lang w:val="en-US"/>
        </w:rPr>
        <w:t xml:space="preserve">The first </w:t>
      </w:r>
      <w:r w:rsidR="00335E6D" w:rsidRPr="00A27178">
        <w:rPr>
          <w:sz w:val="22"/>
          <w:szCs w:val="22"/>
          <w:lang w:val="en-US"/>
        </w:rPr>
        <w:t>chapter</w:t>
      </w:r>
      <w:r w:rsidRPr="00C3457A">
        <w:rPr>
          <w:sz w:val="22"/>
          <w:szCs w:val="22"/>
          <w:lang w:val="en-US"/>
        </w:rPr>
        <w:t xml:space="preserve"> compares the effectiveness of investments in district heating networks versus </w:t>
      </w:r>
      <w:r w:rsidR="00335E6D" w:rsidRPr="00393957">
        <w:rPr>
          <w:sz w:val="22"/>
          <w:szCs w:val="22"/>
          <w:lang w:val="en-US"/>
        </w:rPr>
        <w:t xml:space="preserve">energy efficiency retrofits from </w:t>
      </w:r>
      <w:r w:rsidRPr="00C3457A">
        <w:rPr>
          <w:sz w:val="22"/>
          <w:szCs w:val="22"/>
          <w:lang w:val="en-US"/>
        </w:rPr>
        <w:t xml:space="preserve">the perspective of a city (Bristol, UK) </w:t>
      </w:r>
      <w:r w:rsidR="00A72196">
        <w:rPr>
          <w:sz w:val="22"/>
          <w:szCs w:val="22"/>
          <w:lang w:val="en-US"/>
        </w:rPr>
        <w:t xml:space="preserve">and </w:t>
      </w:r>
      <w:r w:rsidRPr="00C3457A">
        <w:rPr>
          <w:sz w:val="22"/>
          <w:szCs w:val="22"/>
          <w:lang w:val="en-US"/>
        </w:rPr>
        <w:t xml:space="preserve">in the context of </w:t>
      </w:r>
      <w:r w:rsidR="006A7CA2">
        <w:rPr>
          <w:sz w:val="22"/>
          <w:szCs w:val="22"/>
          <w:lang w:val="en-US"/>
        </w:rPr>
        <w:t xml:space="preserve">rising </w:t>
      </w:r>
      <w:r w:rsidRPr="00507931">
        <w:rPr>
          <w:sz w:val="22"/>
          <w:szCs w:val="22"/>
          <w:lang w:val="en-US"/>
        </w:rPr>
        <w:t>energy price</w:t>
      </w:r>
      <w:r w:rsidR="00F27CA0">
        <w:rPr>
          <w:sz w:val="22"/>
          <w:szCs w:val="22"/>
          <w:lang w:val="en-US"/>
        </w:rPr>
        <w:t>s</w:t>
      </w:r>
      <w:r w:rsidRPr="00ED7466">
        <w:rPr>
          <w:sz w:val="22"/>
          <w:szCs w:val="22"/>
          <w:lang w:val="en-US"/>
        </w:rPr>
        <w:t xml:space="preserve">. </w:t>
      </w:r>
      <w:r w:rsidR="00FF37A2" w:rsidRPr="00ED7466">
        <w:rPr>
          <w:sz w:val="22"/>
          <w:szCs w:val="22"/>
          <w:lang w:val="en-US"/>
        </w:rPr>
        <w:t>The</w:t>
      </w:r>
      <w:r w:rsidR="00FF37A2" w:rsidRPr="00C3457A">
        <w:rPr>
          <w:sz w:val="22"/>
          <w:szCs w:val="22"/>
          <w:lang w:val="en-US"/>
        </w:rPr>
        <w:t xml:space="preserve"> energy price shock following Russia's invasion of Ukraine in February 2022 has significant implications for the mitigation costs of both measures.</w:t>
      </w:r>
      <w:r w:rsidR="00FF37A2">
        <w:rPr>
          <w:sz w:val="22"/>
          <w:szCs w:val="22"/>
          <w:lang w:val="en-US"/>
        </w:rPr>
        <w:t xml:space="preserve"> </w:t>
      </w:r>
      <w:r w:rsidRPr="00C3457A">
        <w:rPr>
          <w:sz w:val="22"/>
          <w:szCs w:val="22"/>
          <w:lang w:val="en-US"/>
        </w:rPr>
        <w:t>Many cities across Europe have developed climate action plans that</w:t>
      </w:r>
      <w:r w:rsidR="00335E6D">
        <w:rPr>
          <w:sz w:val="22"/>
          <w:szCs w:val="22"/>
          <w:lang w:val="en-US"/>
        </w:rPr>
        <w:t>, among others,</w:t>
      </w:r>
      <w:r w:rsidR="00672919">
        <w:rPr>
          <w:sz w:val="22"/>
          <w:szCs w:val="22"/>
          <w:lang w:val="en-US"/>
        </w:rPr>
        <w:t xml:space="preserve"> include</w:t>
      </w:r>
      <w:r w:rsidR="00335E6D" w:rsidRPr="00393957">
        <w:rPr>
          <w:sz w:val="22"/>
          <w:szCs w:val="22"/>
          <w:lang w:val="en-US"/>
        </w:rPr>
        <w:t xml:space="preserve"> the two </w:t>
      </w:r>
      <w:r w:rsidR="00EE29EA">
        <w:rPr>
          <w:sz w:val="22"/>
          <w:szCs w:val="22"/>
          <w:lang w:val="en-US"/>
        </w:rPr>
        <w:t>investments considered</w:t>
      </w:r>
      <w:r w:rsidR="00335E6D">
        <w:rPr>
          <w:sz w:val="22"/>
          <w:szCs w:val="22"/>
          <w:lang w:val="en-US"/>
        </w:rPr>
        <w:t xml:space="preserve"> </w:t>
      </w:r>
      <w:r w:rsidR="00335E6D" w:rsidRPr="00393957">
        <w:rPr>
          <w:sz w:val="22"/>
          <w:szCs w:val="22"/>
          <w:lang w:val="en-US"/>
        </w:rPr>
        <w:t>in this study</w:t>
      </w:r>
      <w:r w:rsidR="00FF37A2">
        <w:rPr>
          <w:sz w:val="22"/>
          <w:szCs w:val="22"/>
          <w:lang w:val="en-US"/>
        </w:rPr>
        <w:t>. R</w:t>
      </w:r>
      <w:r w:rsidR="00335E6D">
        <w:rPr>
          <w:sz w:val="22"/>
          <w:szCs w:val="22"/>
          <w:lang w:val="en-US"/>
        </w:rPr>
        <w:t>o</w:t>
      </w:r>
      <w:r w:rsidR="00335E6D" w:rsidRPr="00393957">
        <w:rPr>
          <w:sz w:val="22"/>
          <w:szCs w:val="22"/>
          <w:lang w:val="en-US"/>
        </w:rPr>
        <w:t xml:space="preserve">bust economic evaluations are </w:t>
      </w:r>
      <w:r w:rsidR="00FF37A2">
        <w:rPr>
          <w:sz w:val="22"/>
          <w:szCs w:val="22"/>
          <w:lang w:val="en-US"/>
        </w:rPr>
        <w:t xml:space="preserve">thus </w:t>
      </w:r>
      <w:r w:rsidR="00335E6D" w:rsidRPr="00393957">
        <w:rPr>
          <w:sz w:val="22"/>
          <w:szCs w:val="22"/>
          <w:lang w:val="en-US"/>
        </w:rPr>
        <w:t xml:space="preserve">necessary to help </w:t>
      </w:r>
      <w:r w:rsidR="00335E6D">
        <w:rPr>
          <w:sz w:val="22"/>
          <w:szCs w:val="22"/>
          <w:lang w:val="en-US"/>
        </w:rPr>
        <w:t>them</w:t>
      </w:r>
      <w:r w:rsidR="00335E6D" w:rsidRPr="00393957">
        <w:rPr>
          <w:sz w:val="22"/>
          <w:szCs w:val="22"/>
          <w:lang w:val="en-US"/>
        </w:rPr>
        <w:t xml:space="preserve"> choos</w:t>
      </w:r>
      <w:r w:rsidR="00335E6D">
        <w:rPr>
          <w:sz w:val="22"/>
          <w:szCs w:val="22"/>
          <w:lang w:val="en-US"/>
        </w:rPr>
        <w:t>ing</w:t>
      </w:r>
      <w:r w:rsidR="00335E6D" w:rsidRPr="00393957">
        <w:rPr>
          <w:sz w:val="22"/>
          <w:szCs w:val="22"/>
          <w:lang w:val="en-US"/>
        </w:rPr>
        <w:t xml:space="preserve"> the most cost-effective actions in an uncertain context.</w:t>
      </w:r>
      <w:r w:rsidRPr="00C3457A">
        <w:rPr>
          <w:sz w:val="22"/>
          <w:szCs w:val="22"/>
          <w:lang w:val="en-US"/>
        </w:rPr>
        <w:t xml:space="preserve"> In my case study, adopting price trajectories aligned with the energy price shock in an ex-ante </w:t>
      </w:r>
      <w:r w:rsidR="00FF37A2">
        <w:rPr>
          <w:sz w:val="22"/>
          <w:szCs w:val="22"/>
          <w:lang w:val="en-US"/>
        </w:rPr>
        <w:t xml:space="preserve">cost-benefit </w:t>
      </w:r>
      <w:r w:rsidR="00FF37A2" w:rsidRPr="002F02FF">
        <w:rPr>
          <w:sz w:val="22"/>
          <w:szCs w:val="22"/>
          <w:lang w:val="en-US"/>
        </w:rPr>
        <w:t>analysis</w:t>
      </w:r>
      <w:r w:rsidRPr="002F02FF">
        <w:rPr>
          <w:sz w:val="22"/>
          <w:szCs w:val="22"/>
          <w:lang w:val="en-US"/>
        </w:rPr>
        <w:t xml:space="preserve"> </w:t>
      </w:r>
      <w:r w:rsidR="002F02FF" w:rsidRPr="002F02FF">
        <w:rPr>
          <w:sz w:val="22"/>
          <w:szCs w:val="22"/>
          <w:lang w:val="en-US"/>
        </w:rPr>
        <w:t>can reverse</w:t>
      </w:r>
      <w:r w:rsidRPr="002F02FF">
        <w:rPr>
          <w:sz w:val="22"/>
          <w:szCs w:val="22"/>
          <w:lang w:val="en-US"/>
        </w:rPr>
        <w:t xml:space="preserve"> the optimal sequence for implementing the measures</w:t>
      </w:r>
      <w:r w:rsidRPr="00C3457A">
        <w:rPr>
          <w:sz w:val="22"/>
          <w:szCs w:val="22"/>
          <w:lang w:val="en-US"/>
        </w:rPr>
        <w:t>, prioritizing investments in the district heating network due to its insurance value for consumers.</w:t>
      </w:r>
    </w:p>
    <w:p w14:paraId="41639B7E" w14:textId="0E83F1ED" w:rsidR="00C3457A" w:rsidRDefault="00C3457A" w:rsidP="00C3457A">
      <w:pPr>
        <w:rPr>
          <w:sz w:val="22"/>
          <w:szCs w:val="22"/>
          <w:lang w:val="en-US"/>
        </w:rPr>
      </w:pPr>
      <w:r w:rsidRPr="00C3457A">
        <w:rPr>
          <w:sz w:val="22"/>
          <w:szCs w:val="22"/>
          <w:lang w:val="en-US"/>
        </w:rPr>
        <w:t xml:space="preserve">The second </w:t>
      </w:r>
      <w:r w:rsidR="00EF7340">
        <w:rPr>
          <w:sz w:val="22"/>
          <w:szCs w:val="22"/>
          <w:lang w:val="en-US"/>
        </w:rPr>
        <w:t>chapter</w:t>
      </w:r>
      <w:r w:rsidRPr="00C3457A">
        <w:rPr>
          <w:sz w:val="22"/>
          <w:szCs w:val="22"/>
          <w:lang w:val="en-US"/>
        </w:rPr>
        <w:t xml:space="preserve"> quantifies the dynamic misallocation of investments in solar photovoltaic (PV) energy. </w:t>
      </w:r>
      <w:r w:rsidR="0040793D">
        <w:rPr>
          <w:sz w:val="22"/>
          <w:szCs w:val="22"/>
          <w:lang w:val="en-US"/>
        </w:rPr>
        <w:t>Substantial</w:t>
      </w:r>
      <w:r w:rsidRPr="00C3457A">
        <w:rPr>
          <w:sz w:val="22"/>
          <w:szCs w:val="22"/>
          <w:lang w:val="en-US"/>
        </w:rPr>
        <w:t xml:space="preserve"> literature has examined the </w:t>
      </w:r>
      <w:r w:rsidRPr="00E52813">
        <w:rPr>
          <w:sz w:val="22"/>
          <w:szCs w:val="22"/>
          <w:lang w:val="en-US"/>
        </w:rPr>
        <w:t xml:space="preserve">spatial variation in the </w:t>
      </w:r>
      <w:r w:rsidR="005F4BEB" w:rsidRPr="00E52813">
        <w:rPr>
          <w:sz w:val="22"/>
          <w:szCs w:val="22"/>
          <w:lang w:val="en-US"/>
        </w:rPr>
        <w:t xml:space="preserve">gross </w:t>
      </w:r>
      <w:r w:rsidRPr="00E52813">
        <w:rPr>
          <w:sz w:val="22"/>
          <w:szCs w:val="22"/>
          <w:lang w:val="en-US"/>
        </w:rPr>
        <w:t>benefits</w:t>
      </w:r>
      <w:r w:rsidRPr="00C3457A">
        <w:rPr>
          <w:sz w:val="22"/>
          <w:szCs w:val="22"/>
          <w:lang w:val="en-US"/>
        </w:rPr>
        <w:t xml:space="preserve"> of solar energy. However, there is also significant variation in the costs between solar production units, due to economies of scale and the diversity of installation configurations. This heterogeneity is particularly important when considering </w:t>
      </w:r>
      <w:r w:rsidR="006A0E1E" w:rsidRPr="00C3457A">
        <w:rPr>
          <w:sz w:val="22"/>
          <w:szCs w:val="22"/>
          <w:lang w:val="en-US"/>
        </w:rPr>
        <w:t xml:space="preserve">costs </w:t>
      </w:r>
      <w:r w:rsidRPr="00C3457A">
        <w:rPr>
          <w:sz w:val="22"/>
          <w:szCs w:val="22"/>
          <w:lang w:val="en-US"/>
        </w:rPr>
        <w:t xml:space="preserve">variation </w:t>
      </w:r>
      <w:r w:rsidR="006A0E1E">
        <w:rPr>
          <w:sz w:val="22"/>
          <w:szCs w:val="22"/>
          <w:lang w:val="en-US"/>
        </w:rPr>
        <w:t>o</w:t>
      </w:r>
      <w:r w:rsidRPr="00C3457A">
        <w:rPr>
          <w:sz w:val="22"/>
          <w:szCs w:val="22"/>
          <w:lang w:val="en-US"/>
        </w:rPr>
        <w:t xml:space="preserve">ver time within and between different types of installations. Support policies, such as </w:t>
      </w:r>
      <w:r w:rsidR="00E5211D">
        <w:rPr>
          <w:sz w:val="22"/>
          <w:szCs w:val="22"/>
          <w:lang w:val="en-US"/>
        </w:rPr>
        <w:t>feed-in-tariffs</w:t>
      </w:r>
      <w:r w:rsidRPr="00C3457A">
        <w:rPr>
          <w:sz w:val="22"/>
          <w:szCs w:val="22"/>
          <w:lang w:val="en-US"/>
        </w:rPr>
        <w:t xml:space="preserve"> and public auctions, do not necessarily take this heterogeneity into account when they are designed. We propose a methodology to estimate a lower bound for the dynamic misallocation of investments. To do so, we compare a realized sequence of solar investments with a counterfactual sequence that replicates the same solar energy production each year but </w:t>
      </w:r>
      <w:r w:rsidRPr="00C3457A">
        <w:rPr>
          <w:sz w:val="22"/>
          <w:szCs w:val="22"/>
          <w:lang w:val="en-US"/>
        </w:rPr>
        <w:lastRenderedPageBreak/>
        <w:t>minimizes the total costs. We apply this methodology to the case of France from 2005–2021 and find that the realized trajectory was far from its cost-efficient frontier.</w:t>
      </w:r>
    </w:p>
    <w:p w14:paraId="2550FAE1" w14:textId="694C571A" w:rsidR="00C3457A" w:rsidRDefault="00C3457A" w:rsidP="00C3457A">
      <w:pPr>
        <w:rPr>
          <w:sz w:val="22"/>
          <w:szCs w:val="22"/>
          <w:lang w:val="en-US"/>
        </w:rPr>
      </w:pPr>
      <w:r w:rsidRPr="00C3457A">
        <w:rPr>
          <w:sz w:val="22"/>
          <w:szCs w:val="22"/>
          <w:lang w:val="en-US"/>
        </w:rPr>
        <w:t>The third examines</w:t>
      </w:r>
      <w:r w:rsidR="00667F29">
        <w:rPr>
          <w:sz w:val="22"/>
          <w:szCs w:val="22"/>
          <w:lang w:val="en-US"/>
        </w:rPr>
        <w:t xml:space="preserve"> </w:t>
      </w:r>
      <w:r w:rsidR="0040793D">
        <w:rPr>
          <w:sz w:val="22"/>
          <w:szCs w:val="22"/>
          <w:lang w:val="en-US"/>
        </w:rPr>
        <w:t xml:space="preserve">the French </w:t>
      </w:r>
      <w:r w:rsidRPr="00C3457A">
        <w:rPr>
          <w:sz w:val="22"/>
          <w:szCs w:val="22"/>
          <w:lang w:val="en-US"/>
        </w:rPr>
        <w:t xml:space="preserve">administrative </w:t>
      </w:r>
      <w:r w:rsidR="00D63B78">
        <w:rPr>
          <w:sz w:val="22"/>
          <w:szCs w:val="22"/>
          <w:lang w:val="en-US"/>
        </w:rPr>
        <w:t>“mille-feuille</w:t>
      </w:r>
      <w:r w:rsidR="00A84513">
        <w:rPr>
          <w:sz w:val="22"/>
          <w:szCs w:val="22"/>
          <w:lang w:val="en-US"/>
        </w:rPr>
        <w:t>”</w:t>
      </w:r>
      <w:r w:rsidRPr="00C3457A">
        <w:rPr>
          <w:sz w:val="22"/>
          <w:szCs w:val="22"/>
          <w:lang w:val="en-US"/>
        </w:rPr>
        <w:t xml:space="preserve"> for authorizing the installation of ground-mounted solar power plants. While the effectiveness of spatial </w:t>
      </w:r>
      <w:r w:rsidR="009C5824">
        <w:rPr>
          <w:sz w:val="22"/>
          <w:szCs w:val="22"/>
          <w:lang w:val="en-US"/>
        </w:rPr>
        <w:t xml:space="preserve">planning </w:t>
      </w:r>
      <w:r w:rsidRPr="00C3457A">
        <w:rPr>
          <w:sz w:val="22"/>
          <w:szCs w:val="22"/>
          <w:lang w:val="en-US"/>
        </w:rPr>
        <w:t>policies for</w:t>
      </w:r>
      <w:r w:rsidR="00A25842">
        <w:rPr>
          <w:sz w:val="22"/>
          <w:szCs w:val="22"/>
          <w:lang w:val="en-US"/>
        </w:rPr>
        <w:t xml:space="preserve"> the </w:t>
      </w:r>
      <w:r w:rsidR="00A25842" w:rsidRPr="00C3457A">
        <w:rPr>
          <w:sz w:val="22"/>
          <w:szCs w:val="22"/>
          <w:lang w:val="en-US"/>
        </w:rPr>
        <w:t>deployment</w:t>
      </w:r>
      <w:r w:rsidRPr="00C3457A">
        <w:rPr>
          <w:sz w:val="22"/>
          <w:szCs w:val="22"/>
          <w:lang w:val="en-US"/>
        </w:rPr>
        <w:t xml:space="preserve"> </w:t>
      </w:r>
      <w:r w:rsidR="00A25842">
        <w:rPr>
          <w:sz w:val="22"/>
          <w:szCs w:val="22"/>
          <w:lang w:val="en-US"/>
        </w:rPr>
        <w:t xml:space="preserve">of </w:t>
      </w:r>
      <w:r w:rsidRPr="00C3457A">
        <w:rPr>
          <w:sz w:val="22"/>
          <w:szCs w:val="22"/>
          <w:lang w:val="en-US"/>
        </w:rPr>
        <w:t xml:space="preserve">wind </w:t>
      </w:r>
      <w:r w:rsidR="00A25842">
        <w:rPr>
          <w:sz w:val="22"/>
          <w:szCs w:val="22"/>
          <w:lang w:val="en-US"/>
        </w:rPr>
        <w:t>power</w:t>
      </w:r>
      <w:r w:rsidRPr="00C3457A">
        <w:rPr>
          <w:sz w:val="22"/>
          <w:szCs w:val="22"/>
          <w:lang w:val="en-US"/>
        </w:rPr>
        <w:t xml:space="preserve"> has been studied in the literature, the deployment of ground-mounted solar has received </w:t>
      </w:r>
      <w:r w:rsidR="0040793D">
        <w:rPr>
          <w:sz w:val="22"/>
          <w:szCs w:val="22"/>
          <w:lang w:val="en-US"/>
        </w:rPr>
        <w:t>scant</w:t>
      </w:r>
      <w:r w:rsidRPr="00C3457A">
        <w:rPr>
          <w:sz w:val="22"/>
          <w:szCs w:val="22"/>
          <w:lang w:val="en-US"/>
        </w:rPr>
        <w:t xml:space="preserve"> attention. The spatial deployment of solar follows a specific regul</w:t>
      </w:r>
      <w:r w:rsidR="004B7E9A" w:rsidRPr="00573EAC">
        <w:rPr>
          <w:sz w:val="22"/>
          <w:szCs w:val="22"/>
          <w:lang w:val="en-US"/>
        </w:rPr>
        <w:t xml:space="preserve">ation </w:t>
      </w:r>
      <w:r w:rsidRPr="00C3457A">
        <w:rPr>
          <w:sz w:val="22"/>
          <w:szCs w:val="22"/>
          <w:lang w:val="en-US"/>
        </w:rPr>
        <w:t xml:space="preserve">in France. </w:t>
      </w:r>
      <w:r w:rsidR="004B7E9A" w:rsidRPr="00FB5A3C">
        <w:rPr>
          <w:sz w:val="22"/>
          <w:szCs w:val="22"/>
          <w:lang w:val="en-US"/>
        </w:rPr>
        <w:t>Land-use planning at</w:t>
      </w:r>
      <w:r w:rsidRPr="00FB5A3C">
        <w:rPr>
          <w:sz w:val="22"/>
          <w:szCs w:val="22"/>
          <w:lang w:val="en-US"/>
        </w:rPr>
        <w:t xml:space="preserve"> the </w:t>
      </w:r>
      <w:r w:rsidR="004D2B61">
        <w:rPr>
          <w:sz w:val="22"/>
          <w:szCs w:val="22"/>
          <w:lang w:val="en-US"/>
        </w:rPr>
        <w:t>local level</w:t>
      </w:r>
      <w:r w:rsidRPr="00FB5A3C">
        <w:rPr>
          <w:sz w:val="22"/>
          <w:szCs w:val="22"/>
          <w:lang w:val="en-US"/>
        </w:rPr>
        <w:t xml:space="preserve"> </w:t>
      </w:r>
      <w:r w:rsidR="004B7E9A" w:rsidRPr="00FB5A3C">
        <w:rPr>
          <w:sz w:val="22"/>
          <w:szCs w:val="22"/>
          <w:lang w:val="en-US"/>
        </w:rPr>
        <w:t>is</w:t>
      </w:r>
      <w:r w:rsidRPr="00FB5A3C">
        <w:rPr>
          <w:sz w:val="22"/>
          <w:szCs w:val="22"/>
          <w:lang w:val="en-US"/>
        </w:rPr>
        <w:t xml:space="preserve"> used to define</w:t>
      </w:r>
      <w:r w:rsidR="00EE2C64">
        <w:rPr>
          <w:sz w:val="22"/>
          <w:szCs w:val="22"/>
          <w:lang w:val="en-US"/>
        </w:rPr>
        <w:t xml:space="preserve"> at the national level</w:t>
      </w:r>
      <w:r w:rsidRPr="00FB5A3C">
        <w:rPr>
          <w:sz w:val="22"/>
          <w:szCs w:val="22"/>
          <w:lang w:val="en-US"/>
        </w:rPr>
        <w:t xml:space="preserve"> eligibility criteria </w:t>
      </w:r>
      <w:r w:rsidR="004D2B61">
        <w:rPr>
          <w:sz w:val="22"/>
          <w:szCs w:val="22"/>
          <w:lang w:val="en-US"/>
        </w:rPr>
        <w:t xml:space="preserve">for the development of </w:t>
      </w:r>
      <w:r w:rsidR="00667F29" w:rsidRPr="00FB5A3C">
        <w:rPr>
          <w:sz w:val="22"/>
          <w:szCs w:val="22"/>
          <w:lang w:val="en-US"/>
        </w:rPr>
        <w:t xml:space="preserve">ground-mounted </w:t>
      </w:r>
      <w:r w:rsidRPr="00FB5A3C">
        <w:rPr>
          <w:sz w:val="22"/>
          <w:szCs w:val="22"/>
          <w:lang w:val="en-US"/>
        </w:rPr>
        <w:t>solar</w:t>
      </w:r>
      <w:r w:rsidR="00667F29" w:rsidRPr="00FB5A3C">
        <w:rPr>
          <w:sz w:val="22"/>
          <w:szCs w:val="22"/>
          <w:lang w:val="en-US"/>
        </w:rPr>
        <w:t xml:space="preserve"> installations</w:t>
      </w:r>
      <w:r w:rsidRPr="00FB5A3C">
        <w:rPr>
          <w:sz w:val="22"/>
          <w:szCs w:val="22"/>
          <w:lang w:val="en-US"/>
        </w:rPr>
        <w:t>.</w:t>
      </w:r>
      <w:r w:rsidR="004D2B61">
        <w:rPr>
          <w:sz w:val="22"/>
          <w:szCs w:val="22"/>
          <w:lang w:val="en-US"/>
        </w:rPr>
        <w:t xml:space="preserve"> </w:t>
      </w:r>
      <w:r w:rsidR="00BD75F8">
        <w:rPr>
          <w:sz w:val="22"/>
          <w:szCs w:val="22"/>
          <w:lang w:val="en-US"/>
        </w:rPr>
        <w:t>However, t</w:t>
      </w:r>
      <w:r w:rsidR="00BD75F8" w:rsidRPr="00FB5A3C">
        <w:rPr>
          <w:sz w:val="22"/>
          <w:szCs w:val="22"/>
          <w:lang w:val="en-US"/>
        </w:rPr>
        <w:t>he diversity of land-use planning frameworks</w:t>
      </w:r>
      <w:r w:rsidR="00594CC7">
        <w:rPr>
          <w:sz w:val="22"/>
          <w:szCs w:val="22"/>
          <w:lang w:val="en-US"/>
        </w:rPr>
        <w:t xml:space="preserve"> </w:t>
      </w:r>
      <w:r w:rsidR="00BD75F8">
        <w:rPr>
          <w:sz w:val="22"/>
          <w:szCs w:val="22"/>
          <w:lang w:val="en-US"/>
        </w:rPr>
        <w:t xml:space="preserve">– established at the municipality or inter-municipality level </w:t>
      </w:r>
      <w:r w:rsidR="00594CC7">
        <w:rPr>
          <w:sz w:val="22"/>
          <w:szCs w:val="22"/>
          <w:lang w:val="en-US"/>
        </w:rPr>
        <w:t>–</w:t>
      </w:r>
      <w:r w:rsidR="00BD75F8" w:rsidRPr="00FB5A3C">
        <w:rPr>
          <w:sz w:val="22"/>
          <w:szCs w:val="22"/>
          <w:lang w:val="en-US"/>
        </w:rPr>
        <w:t xml:space="preserve">creates discrepancies </w:t>
      </w:r>
      <w:r w:rsidR="00E20222">
        <w:rPr>
          <w:sz w:val="22"/>
          <w:szCs w:val="22"/>
          <w:lang w:val="en-US"/>
        </w:rPr>
        <w:t xml:space="preserve">across jurisdictions </w:t>
      </w:r>
      <w:r w:rsidR="00BD75F8">
        <w:rPr>
          <w:sz w:val="22"/>
          <w:szCs w:val="22"/>
          <w:lang w:val="en-US"/>
        </w:rPr>
        <w:t>in the application of national regulation</w:t>
      </w:r>
      <w:r w:rsidR="00BD75F8" w:rsidRPr="00C3457A">
        <w:rPr>
          <w:sz w:val="22"/>
          <w:szCs w:val="22"/>
          <w:lang w:val="en-US"/>
        </w:rPr>
        <w:t xml:space="preserve">. </w:t>
      </w:r>
      <w:r w:rsidR="004D2B61" w:rsidRPr="00C3457A">
        <w:rPr>
          <w:sz w:val="22"/>
          <w:szCs w:val="22"/>
          <w:lang w:val="en-US"/>
        </w:rPr>
        <w:t xml:space="preserve">Using a quasi-experimental approach, I </w:t>
      </w:r>
      <w:r w:rsidR="00BD75F8">
        <w:rPr>
          <w:sz w:val="22"/>
          <w:szCs w:val="22"/>
          <w:lang w:val="en-US"/>
        </w:rPr>
        <w:t>study</w:t>
      </w:r>
      <w:r w:rsidR="004D2B61" w:rsidRPr="00C3457A">
        <w:rPr>
          <w:sz w:val="22"/>
          <w:szCs w:val="22"/>
          <w:lang w:val="en-US"/>
        </w:rPr>
        <w:t xml:space="preserve"> how this interaction impacts the amount of land allocated to </w:t>
      </w:r>
      <w:r w:rsidR="004D2B61">
        <w:rPr>
          <w:sz w:val="22"/>
          <w:szCs w:val="22"/>
          <w:lang w:val="en-US"/>
        </w:rPr>
        <w:t>ground-mounted</w:t>
      </w:r>
      <w:r w:rsidR="004D2B61" w:rsidRPr="00C3457A">
        <w:rPr>
          <w:sz w:val="22"/>
          <w:szCs w:val="22"/>
          <w:lang w:val="en-US"/>
        </w:rPr>
        <w:t xml:space="preserve"> sola</w:t>
      </w:r>
      <w:r w:rsidR="004D2B61">
        <w:rPr>
          <w:sz w:val="22"/>
          <w:szCs w:val="22"/>
          <w:lang w:val="en-US"/>
        </w:rPr>
        <w:t>r</w:t>
      </w:r>
      <w:r w:rsidR="004D2B61" w:rsidRPr="00C3457A">
        <w:rPr>
          <w:sz w:val="22"/>
          <w:szCs w:val="22"/>
          <w:lang w:val="en-US"/>
        </w:rPr>
        <w:t xml:space="preserve">. </w:t>
      </w:r>
      <w:r w:rsidRPr="00FB5A3C">
        <w:rPr>
          <w:sz w:val="22"/>
          <w:szCs w:val="22"/>
          <w:lang w:val="en-US"/>
        </w:rPr>
        <w:t xml:space="preserve"> </w:t>
      </w:r>
      <w:r w:rsidRPr="00C3457A">
        <w:rPr>
          <w:sz w:val="22"/>
          <w:szCs w:val="22"/>
          <w:lang w:val="en-US"/>
        </w:rPr>
        <w:t xml:space="preserve">I find that </w:t>
      </w:r>
      <w:r w:rsidR="00253586" w:rsidRPr="00573EAC">
        <w:rPr>
          <w:sz w:val="22"/>
          <w:szCs w:val="22"/>
          <w:lang w:val="en-US"/>
        </w:rPr>
        <w:t xml:space="preserve">land-use planning </w:t>
      </w:r>
      <w:r w:rsidR="00004B5B">
        <w:rPr>
          <w:sz w:val="22"/>
          <w:szCs w:val="22"/>
          <w:lang w:val="en-US"/>
        </w:rPr>
        <w:t xml:space="preserve">frameworks </w:t>
      </w:r>
      <w:r w:rsidR="00253586" w:rsidRPr="00573EAC">
        <w:rPr>
          <w:sz w:val="22"/>
          <w:szCs w:val="22"/>
          <w:lang w:val="en-US"/>
        </w:rPr>
        <w:t xml:space="preserve">with </w:t>
      </w:r>
      <w:r w:rsidRPr="00C3457A">
        <w:rPr>
          <w:sz w:val="22"/>
          <w:szCs w:val="22"/>
          <w:lang w:val="en-US"/>
        </w:rPr>
        <w:t xml:space="preserve">more detailed </w:t>
      </w:r>
      <w:r w:rsidR="00004B5B">
        <w:rPr>
          <w:sz w:val="22"/>
          <w:szCs w:val="22"/>
          <w:lang w:val="en-US"/>
        </w:rPr>
        <w:t>land-use categories</w:t>
      </w:r>
      <w:r w:rsidRPr="00C3457A">
        <w:rPr>
          <w:sz w:val="22"/>
          <w:szCs w:val="22"/>
          <w:lang w:val="en-US"/>
        </w:rPr>
        <w:t xml:space="preserve"> enable better targeting of land for solar</w:t>
      </w:r>
      <w:r w:rsidR="00004B5B">
        <w:rPr>
          <w:sz w:val="22"/>
          <w:szCs w:val="22"/>
          <w:lang w:val="en-US"/>
        </w:rPr>
        <w:t xml:space="preserve">. I also find that </w:t>
      </w:r>
      <w:r w:rsidRPr="00C3457A">
        <w:rPr>
          <w:sz w:val="22"/>
          <w:szCs w:val="22"/>
          <w:lang w:val="en-US"/>
        </w:rPr>
        <w:t xml:space="preserve">recently updated </w:t>
      </w:r>
      <w:r w:rsidR="00A36B97">
        <w:rPr>
          <w:sz w:val="22"/>
          <w:szCs w:val="22"/>
          <w:lang w:val="en-US"/>
        </w:rPr>
        <w:t>land-use planning</w:t>
      </w:r>
      <w:r w:rsidRPr="00C3457A">
        <w:rPr>
          <w:sz w:val="22"/>
          <w:szCs w:val="22"/>
          <w:lang w:val="en-US"/>
        </w:rPr>
        <w:t xml:space="preserve"> </w:t>
      </w:r>
      <w:r w:rsidR="00AE55C0">
        <w:rPr>
          <w:sz w:val="22"/>
          <w:szCs w:val="22"/>
          <w:lang w:val="en-US"/>
        </w:rPr>
        <w:t>and</w:t>
      </w:r>
      <w:r w:rsidRPr="00C3457A">
        <w:rPr>
          <w:sz w:val="22"/>
          <w:szCs w:val="22"/>
          <w:lang w:val="en-US"/>
        </w:rPr>
        <w:t xml:space="preserve"> </w:t>
      </w:r>
      <w:r w:rsidR="006422A2" w:rsidRPr="00573EAC">
        <w:rPr>
          <w:sz w:val="22"/>
          <w:szCs w:val="22"/>
          <w:lang w:val="en-US"/>
        </w:rPr>
        <w:t>the ones</w:t>
      </w:r>
      <w:r w:rsidRPr="00C3457A">
        <w:rPr>
          <w:sz w:val="22"/>
          <w:szCs w:val="22"/>
          <w:lang w:val="en-US"/>
        </w:rPr>
        <w:t xml:space="preserve"> integrated at the inter</w:t>
      </w:r>
      <w:r w:rsidR="00651447" w:rsidRPr="00573EAC">
        <w:rPr>
          <w:sz w:val="22"/>
          <w:szCs w:val="22"/>
          <w:lang w:val="en-US"/>
        </w:rPr>
        <w:t>-</w:t>
      </w:r>
      <w:r w:rsidRPr="00C3457A">
        <w:rPr>
          <w:sz w:val="22"/>
          <w:szCs w:val="22"/>
          <w:lang w:val="en-US"/>
        </w:rPr>
        <w:t>municipal</w:t>
      </w:r>
      <w:r w:rsidR="00651447" w:rsidRPr="00573EAC">
        <w:rPr>
          <w:sz w:val="22"/>
          <w:szCs w:val="22"/>
          <w:lang w:val="en-US"/>
        </w:rPr>
        <w:t>ity</w:t>
      </w:r>
      <w:r w:rsidRPr="00C3457A">
        <w:rPr>
          <w:sz w:val="22"/>
          <w:szCs w:val="22"/>
          <w:lang w:val="en-US"/>
        </w:rPr>
        <w:t xml:space="preserve"> level hinder </w:t>
      </w:r>
      <w:r w:rsidR="00B46364">
        <w:rPr>
          <w:sz w:val="22"/>
          <w:szCs w:val="22"/>
          <w:lang w:val="en-US"/>
        </w:rPr>
        <w:t>the</w:t>
      </w:r>
      <w:r w:rsidRPr="00C3457A">
        <w:rPr>
          <w:sz w:val="22"/>
          <w:szCs w:val="22"/>
          <w:lang w:val="en-US"/>
        </w:rPr>
        <w:t xml:space="preserve"> allocation</w:t>
      </w:r>
      <w:r w:rsidR="00B46364">
        <w:rPr>
          <w:sz w:val="22"/>
          <w:szCs w:val="22"/>
          <w:lang w:val="en-US"/>
        </w:rPr>
        <w:t xml:space="preserve"> of land to</w:t>
      </w:r>
      <w:r w:rsidRPr="00C3457A">
        <w:rPr>
          <w:sz w:val="22"/>
          <w:szCs w:val="22"/>
          <w:lang w:val="en-US"/>
        </w:rPr>
        <w:t xml:space="preserve"> solar, as they must </w:t>
      </w:r>
      <w:r w:rsidR="00A01BAD" w:rsidRPr="00573EAC">
        <w:rPr>
          <w:sz w:val="22"/>
          <w:szCs w:val="22"/>
          <w:lang w:val="en-US"/>
        </w:rPr>
        <w:t>integrate</w:t>
      </w:r>
      <w:r w:rsidRPr="00C3457A">
        <w:rPr>
          <w:sz w:val="22"/>
          <w:szCs w:val="22"/>
          <w:lang w:val="en-US"/>
        </w:rPr>
        <w:t xml:space="preserve"> other environmental objectives</w:t>
      </w:r>
      <w:r w:rsidR="00A01BAD" w:rsidRPr="00573EAC">
        <w:rPr>
          <w:sz w:val="22"/>
          <w:szCs w:val="22"/>
          <w:lang w:val="en-US"/>
        </w:rPr>
        <w:t xml:space="preserve"> </w:t>
      </w:r>
      <w:r w:rsidRPr="00C3457A">
        <w:rPr>
          <w:sz w:val="22"/>
          <w:szCs w:val="22"/>
          <w:lang w:val="en-US"/>
        </w:rPr>
        <w:t xml:space="preserve">related to land </w:t>
      </w:r>
      <w:r w:rsidR="004B7E9A" w:rsidRPr="00573EAC">
        <w:rPr>
          <w:sz w:val="22"/>
          <w:szCs w:val="22"/>
          <w:lang w:val="en-US"/>
        </w:rPr>
        <w:t>conservation</w:t>
      </w:r>
      <w:r w:rsidRPr="00C3457A">
        <w:rPr>
          <w:sz w:val="22"/>
          <w:szCs w:val="22"/>
          <w:lang w:val="en-US"/>
        </w:rPr>
        <w:t>.</w:t>
      </w:r>
    </w:p>
    <w:sectPr w:rsidR="00C3457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008B" w14:textId="77777777" w:rsidR="0054552B" w:rsidRDefault="0054552B" w:rsidP="00D43226">
      <w:pPr>
        <w:spacing w:after="0" w:line="240" w:lineRule="auto"/>
      </w:pPr>
      <w:r>
        <w:separator/>
      </w:r>
    </w:p>
  </w:endnote>
  <w:endnote w:type="continuationSeparator" w:id="0">
    <w:p w14:paraId="27BF5AC4" w14:textId="77777777" w:rsidR="0054552B" w:rsidRDefault="0054552B" w:rsidP="00D4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AF82" w14:textId="77777777" w:rsidR="0054552B" w:rsidRDefault="0054552B" w:rsidP="00D43226">
      <w:pPr>
        <w:spacing w:after="0" w:line="240" w:lineRule="auto"/>
      </w:pPr>
      <w:r>
        <w:separator/>
      </w:r>
    </w:p>
  </w:footnote>
  <w:footnote w:type="continuationSeparator" w:id="0">
    <w:p w14:paraId="441A8186" w14:textId="77777777" w:rsidR="0054552B" w:rsidRDefault="0054552B" w:rsidP="00D4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E008" w14:textId="1D63BB8B" w:rsidR="00D43226" w:rsidRDefault="00D43226">
    <w:pPr>
      <w:pStyle w:val="En-tte"/>
    </w:pPr>
    <w:r>
      <w:t>Nicolas Hatem</w:t>
    </w:r>
    <w:r>
      <w:tab/>
    </w:r>
    <w:r>
      <w:tab/>
      <w:t>17/02/2025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D9"/>
    <w:rsid w:val="00000F03"/>
    <w:rsid w:val="00004B5B"/>
    <w:rsid w:val="0001539F"/>
    <w:rsid w:val="000250AC"/>
    <w:rsid w:val="00041B44"/>
    <w:rsid w:val="0006530D"/>
    <w:rsid w:val="00087896"/>
    <w:rsid w:val="000B24D5"/>
    <w:rsid w:val="000B47E1"/>
    <w:rsid w:val="000B555A"/>
    <w:rsid w:val="000C01C5"/>
    <w:rsid w:val="000E71FA"/>
    <w:rsid w:val="000F6FDF"/>
    <w:rsid w:val="00101D79"/>
    <w:rsid w:val="001161E8"/>
    <w:rsid w:val="001401B5"/>
    <w:rsid w:val="001408F2"/>
    <w:rsid w:val="00156854"/>
    <w:rsid w:val="00157BD8"/>
    <w:rsid w:val="001805B7"/>
    <w:rsid w:val="001818BD"/>
    <w:rsid w:val="001829F4"/>
    <w:rsid w:val="00192A59"/>
    <w:rsid w:val="001960F0"/>
    <w:rsid w:val="00196E0E"/>
    <w:rsid w:val="001B4979"/>
    <w:rsid w:val="001B62C6"/>
    <w:rsid w:val="001D4A48"/>
    <w:rsid w:val="001D5024"/>
    <w:rsid w:val="001D66CC"/>
    <w:rsid w:val="001E20CB"/>
    <w:rsid w:val="001F1ADB"/>
    <w:rsid w:val="001F5DFD"/>
    <w:rsid w:val="00226A53"/>
    <w:rsid w:val="00232F0F"/>
    <w:rsid w:val="0023321B"/>
    <w:rsid w:val="002424C0"/>
    <w:rsid w:val="0025327D"/>
    <w:rsid w:val="00253586"/>
    <w:rsid w:val="00254459"/>
    <w:rsid w:val="002571EF"/>
    <w:rsid w:val="00280C91"/>
    <w:rsid w:val="00283A63"/>
    <w:rsid w:val="00295C77"/>
    <w:rsid w:val="002B09B0"/>
    <w:rsid w:val="002B7F3C"/>
    <w:rsid w:val="002D3A21"/>
    <w:rsid w:val="002E6AAF"/>
    <w:rsid w:val="002F0296"/>
    <w:rsid w:val="002F02FF"/>
    <w:rsid w:val="00324BC2"/>
    <w:rsid w:val="00335E6D"/>
    <w:rsid w:val="00356352"/>
    <w:rsid w:val="00366D55"/>
    <w:rsid w:val="0037326B"/>
    <w:rsid w:val="003736A6"/>
    <w:rsid w:val="00381A0B"/>
    <w:rsid w:val="003836DF"/>
    <w:rsid w:val="00393957"/>
    <w:rsid w:val="003C3BA3"/>
    <w:rsid w:val="003C60EC"/>
    <w:rsid w:val="003C6FF7"/>
    <w:rsid w:val="00402737"/>
    <w:rsid w:val="0040793D"/>
    <w:rsid w:val="00411F51"/>
    <w:rsid w:val="00415325"/>
    <w:rsid w:val="00443DC8"/>
    <w:rsid w:val="00444F72"/>
    <w:rsid w:val="0044524D"/>
    <w:rsid w:val="00461643"/>
    <w:rsid w:val="004856E0"/>
    <w:rsid w:val="004B7E9A"/>
    <w:rsid w:val="004C5B83"/>
    <w:rsid w:val="004D1346"/>
    <w:rsid w:val="004D2B61"/>
    <w:rsid w:val="004D6D00"/>
    <w:rsid w:val="004E29B7"/>
    <w:rsid w:val="004E33E9"/>
    <w:rsid w:val="004E3ABC"/>
    <w:rsid w:val="004F2EB9"/>
    <w:rsid w:val="004F33A2"/>
    <w:rsid w:val="00501494"/>
    <w:rsid w:val="005031AD"/>
    <w:rsid w:val="00507931"/>
    <w:rsid w:val="00512B15"/>
    <w:rsid w:val="0051725D"/>
    <w:rsid w:val="005434E4"/>
    <w:rsid w:val="00544D2F"/>
    <w:rsid w:val="0054552B"/>
    <w:rsid w:val="00573EAC"/>
    <w:rsid w:val="00580020"/>
    <w:rsid w:val="005836D2"/>
    <w:rsid w:val="00584231"/>
    <w:rsid w:val="00592159"/>
    <w:rsid w:val="00594CC7"/>
    <w:rsid w:val="005954C5"/>
    <w:rsid w:val="005A0BE2"/>
    <w:rsid w:val="005B2C8C"/>
    <w:rsid w:val="005B7C72"/>
    <w:rsid w:val="005D5BF0"/>
    <w:rsid w:val="005E2C73"/>
    <w:rsid w:val="005E5DA0"/>
    <w:rsid w:val="005E5E67"/>
    <w:rsid w:val="005F22BC"/>
    <w:rsid w:val="005F4BEB"/>
    <w:rsid w:val="005F4CB9"/>
    <w:rsid w:val="005F7B69"/>
    <w:rsid w:val="00613D22"/>
    <w:rsid w:val="00615F9E"/>
    <w:rsid w:val="00633F55"/>
    <w:rsid w:val="006415DB"/>
    <w:rsid w:val="006422A2"/>
    <w:rsid w:val="00645A4E"/>
    <w:rsid w:val="006465E4"/>
    <w:rsid w:val="0065127E"/>
    <w:rsid w:val="00651447"/>
    <w:rsid w:val="00656B08"/>
    <w:rsid w:val="00661D92"/>
    <w:rsid w:val="00664257"/>
    <w:rsid w:val="00667F29"/>
    <w:rsid w:val="00672919"/>
    <w:rsid w:val="00685AC0"/>
    <w:rsid w:val="006942AE"/>
    <w:rsid w:val="006A0E1E"/>
    <w:rsid w:val="006A7CA2"/>
    <w:rsid w:val="006B5DB6"/>
    <w:rsid w:val="006B6518"/>
    <w:rsid w:val="006C0C69"/>
    <w:rsid w:val="006C502A"/>
    <w:rsid w:val="006D0DB8"/>
    <w:rsid w:val="006D6D2A"/>
    <w:rsid w:val="006E6399"/>
    <w:rsid w:val="006E7794"/>
    <w:rsid w:val="007133B4"/>
    <w:rsid w:val="007151C4"/>
    <w:rsid w:val="00740DD7"/>
    <w:rsid w:val="007468E7"/>
    <w:rsid w:val="007556F9"/>
    <w:rsid w:val="0076427E"/>
    <w:rsid w:val="007651C5"/>
    <w:rsid w:val="00770844"/>
    <w:rsid w:val="0077702B"/>
    <w:rsid w:val="00777C62"/>
    <w:rsid w:val="007842D1"/>
    <w:rsid w:val="007852E6"/>
    <w:rsid w:val="00785D0E"/>
    <w:rsid w:val="007A76CB"/>
    <w:rsid w:val="007D3171"/>
    <w:rsid w:val="00815A25"/>
    <w:rsid w:val="008175FF"/>
    <w:rsid w:val="008316B2"/>
    <w:rsid w:val="008362B0"/>
    <w:rsid w:val="008467FE"/>
    <w:rsid w:val="00855E53"/>
    <w:rsid w:val="00863627"/>
    <w:rsid w:val="00887D0D"/>
    <w:rsid w:val="008C7C7D"/>
    <w:rsid w:val="008D39E7"/>
    <w:rsid w:val="008E148B"/>
    <w:rsid w:val="008E3369"/>
    <w:rsid w:val="008F54B7"/>
    <w:rsid w:val="00912D38"/>
    <w:rsid w:val="00921ACF"/>
    <w:rsid w:val="0093096B"/>
    <w:rsid w:val="0095007F"/>
    <w:rsid w:val="00955000"/>
    <w:rsid w:val="00963F13"/>
    <w:rsid w:val="00964DDB"/>
    <w:rsid w:val="00992ABB"/>
    <w:rsid w:val="00997B50"/>
    <w:rsid w:val="009B7DE4"/>
    <w:rsid w:val="009C10BE"/>
    <w:rsid w:val="009C2C90"/>
    <w:rsid w:val="009C5824"/>
    <w:rsid w:val="00A01BAD"/>
    <w:rsid w:val="00A0574B"/>
    <w:rsid w:val="00A05DDC"/>
    <w:rsid w:val="00A25842"/>
    <w:rsid w:val="00A27178"/>
    <w:rsid w:val="00A31D67"/>
    <w:rsid w:val="00A32767"/>
    <w:rsid w:val="00A36B97"/>
    <w:rsid w:val="00A46991"/>
    <w:rsid w:val="00A57220"/>
    <w:rsid w:val="00A66C8A"/>
    <w:rsid w:val="00A71906"/>
    <w:rsid w:val="00A72196"/>
    <w:rsid w:val="00A84513"/>
    <w:rsid w:val="00AA35BA"/>
    <w:rsid w:val="00AA534E"/>
    <w:rsid w:val="00AB5385"/>
    <w:rsid w:val="00AD5470"/>
    <w:rsid w:val="00AE408B"/>
    <w:rsid w:val="00AE55C0"/>
    <w:rsid w:val="00AF51C9"/>
    <w:rsid w:val="00AF5F25"/>
    <w:rsid w:val="00B13574"/>
    <w:rsid w:val="00B17806"/>
    <w:rsid w:val="00B20808"/>
    <w:rsid w:val="00B35AD9"/>
    <w:rsid w:val="00B36C8C"/>
    <w:rsid w:val="00B46364"/>
    <w:rsid w:val="00B60143"/>
    <w:rsid w:val="00B60705"/>
    <w:rsid w:val="00B716C2"/>
    <w:rsid w:val="00B74772"/>
    <w:rsid w:val="00B80CA7"/>
    <w:rsid w:val="00B8123B"/>
    <w:rsid w:val="00B86812"/>
    <w:rsid w:val="00B94ABE"/>
    <w:rsid w:val="00BA45ED"/>
    <w:rsid w:val="00BA4FF0"/>
    <w:rsid w:val="00BA5BF9"/>
    <w:rsid w:val="00BB0F81"/>
    <w:rsid w:val="00BC6CE3"/>
    <w:rsid w:val="00BD3C3A"/>
    <w:rsid w:val="00BD75F8"/>
    <w:rsid w:val="00BE18B8"/>
    <w:rsid w:val="00BF45F5"/>
    <w:rsid w:val="00BF6BB6"/>
    <w:rsid w:val="00C055A2"/>
    <w:rsid w:val="00C1447D"/>
    <w:rsid w:val="00C25DCF"/>
    <w:rsid w:val="00C3457A"/>
    <w:rsid w:val="00C53145"/>
    <w:rsid w:val="00C63468"/>
    <w:rsid w:val="00C72AE9"/>
    <w:rsid w:val="00C75467"/>
    <w:rsid w:val="00CA1AED"/>
    <w:rsid w:val="00CA1FEC"/>
    <w:rsid w:val="00CC1992"/>
    <w:rsid w:val="00CC7119"/>
    <w:rsid w:val="00CD1A8D"/>
    <w:rsid w:val="00CD36E8"/>
    <w:rsid w:val="00CF389E"/>
    <w:rsid w:val="00CF3EAF"/>
    <w:rsid w:val="00CF5188"/>
    <w:rsid w:val="00CF54CD"/>
    <w:rsid w:val="00D00B03"/>
    <w:rsid w:val="00D03312"/>
    <w:rsid w:val="00D10A54"/>
    <w:rsid w:val="00D1135A"/>
    <w:rsid w:val="00D160E7"/>
    <w:rsid w:val="00D26D11"/>
    <w:rsid w:val="00D31956"/>
    <w:rsid w:val="00D35DD9"/>
    <w:rsid w:val="00D36835"/>
    <w:rsid w:val="00D43226"/>
    <w:rsid w:val="00D47221"/>
    <w:rsid w:val="00D57CE9"/>
    <w:rsid w:val="00D61ADE"/>
    <w:rsid w:val="00D63B78"/>
    <w:rsid w:val="00D662A4"/>
    <w:rsid w:val="00D669C7"/>
    <w:rsid w:val="00D74893"/>
    <w:rsid w:val="00D90E93"/>
    <w:rsid w:val="00D94D39"/>
    <w:rsid w:val="00D97AC6"/>
    <w:rsid w:val="00DA1529"/>
    <w:rsid w:val="00DC1524"/>
    <w:rsid w:val="00DE67A5"/>
    <w:rsid w:val="00DE71D7"/>
    <w:rsid w:val="00E15B4C"/>
    <w:rsid w:val="00E20222"/>
    <w:rsid w:val="00E27F44"/>
    <w:rsid w:val="00E32532"/>
    <w:rsid w:val="00E358C6"/>
    <w:rsid w:val="00E4234B"/>
    <w:rsid w:val="00E5211D"/>
    <w:rsid w:val="00E52813"/>
    <w:rsid w:val="00E61F7B"/>
    <w:rsid w:val="00E70CE9"/>
    <w:rsid w:val="00E72C09"/>
    <w:rsid w:val="00E90568"/>
    <w:rsid w:val="00E96BEF"/>
    <w:rsid w:val="00EA34BD"/>
    <w:rsid w:val="00EB54EA"/>
    <w:rsid w:val="00ED7466"/>
    <w:rsid w:val="00EE29EA"/>
    <w:rsid w:val="00EE2C64"/>
    <w:rsid w:val="00EE451B"/>
    <w:rsid w:val="00EF7340"/>
    <w:rsid w:val="00F007D1"/>
    <w:rsid w:val="00F02A71"/>
    <w:rsid w:val="00F039A2"/>
    <w:rsid w:val="00F0686F"/>
    <w:rsid w:val="00F27810"/>
    <w:rsid w:val="00F27CA0"/>
    <w:rsid w:val="00F3032C"/>
    <w:rsid w:val="00F375AD"/>
    <w:rsid w:val="00F37A74"/>
    <w:rsid w:val="00F45A86"/>
    <w:rsid w:val="00F466E3"/>
    <w:rsid w:val="00F63A7D"/>
    <w:rsid w:val="00F675BE"/>
    <w:rsid w:val="00F921B8"/>
    <w:rsid w:val="00FA37B9"/>
    <w:rsid w:val="00FB5A3C"/>
    <w:rsid w:val="00FC0E54"/>
    <w:rsid w:val="00FC2FE0"/>
    <w:rsid w:val="00FF37A2"/>
    <w:rsid w:val="00FF4326"/>
    <w:rsid w:val="00FF66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8BD5"/>
  <w15:chartTrackingRefBased/>
  <w15:docId w15:val="{F02A8AAE-2CB7-4298-855A-836463DF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5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5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5D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5D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5D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5D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5D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5D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5D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5D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5D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5D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5D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5D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5D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5D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5D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5DD9"/>
    <w:rPr>
      <w:rFonts w:eastAsiaTheme="majorEastAsia" w:cstheme="majorBidi"/>
      <w:color w:val="272727" w:themeColor="text1" w:themeTint="D8"/>
    </w:rPr>
  </w:style>
  <w:style w:type="paragraph" w:styleId="Titre">
    <w:name w:val="Title"/>
    <w:basedOn w:val="Normal"/>
    <w:next w:val="Normal"/>
    <w:link w:val="TitreCar"/>
    <w:uiPriority w:val="10"/>
    <w:qFormat/>
    <w:rsid w:val="00D35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5D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5D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5D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5DD9"/>
    <w:pPr>
      <w:spacing w:before="160"/>
      <w:jc w:val="center"/>
    </w:pPr>
    <w:rPr>
      <w:i/>
      <w:iCs/>
      <w:color w:val="404040" w:themeColor="text1" w:themeTint="BF"/>
    </w:rPr>
  </w:style>
  <w:style w:type="character" w:customStyle="1" w:styleId="CitationCar">
    <w:name w:val="Citation Car"/>
    <w:basedOn w:val="Policepardfaut"/>
    <w:link w:val="Citation"/>
    <w:uiPriority w:val="29"/>
    <w:rsid w:val="00D35DD9"/>
    <w:rPr>
      <w:i/>
      <w:iCs/>
      <w:color w:val="404040" w:themeColor="text1" w:themeTint="BF"/>
    </w:rPr>
  </w:style>
  <w:style w:type="paragraph" w:styleId="Paragraphedeliste">
    <w:name w:val="List Paragraph"/>
    <w:basedOn w:val="Normal"/>
    <w:uiPriority w:val="34"/>
    <w:qFormat/>
    <w:rsid w:val="00D35DD9"/>
    <w:pPr>
      <w:ind w:left="720"/>
      <w:contextualSpacing/>
    </w:pPr>
  </w:style>
  <w:style w:type="character" w:styleId="Accentuationintense">
    <w:name w:val="Intense Emphasis"/>
    <w:basedOn w:val="Policepardfaut"/>
    <w:uiPriority w:val="21"/>
    <w:qFormat/>
    <w:rsid w:val="00D35DD9"/>
    <w:rPr>
      <w:i/>
      <w:iCs/>
      <w:color w:val="0F4761" w:themeColor="accent1" w:themeShade="BF"/>
    </w:rPr>
  </w:style>
  <w:style w:type="paragraph" w:styleId="Citationintense">
    <w:name w:val="Intense Quote"/>
    <w:basedOn w:val="Normal"/>
    <w:next w:val="Normal"/>
    <w:link w:val="CitationintenseCar"/>
    <w:uiPriority w:val="30"/>
    <w:qFormat/>
    <w:rsid w:val="00D35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5DD9"/>
    <w:rPr>
      <w:i/>
      <w:iCs/>
      <w:color w:val="0F4761" w:themeColor="accent1" w:themeShade="BF"/>
    </w:rPr>
  </w:style>
  <w:style w:type="character" w:styleId="Rfrenceintense">
    <w:name w:val="Intense Reference"/>
    <w:basedOn w:val="Policepardfaut"/>
    <w:uiPriority w:val="32"/>
    <w:qFormat/>
    <w:rsid w:val="00D35DD9"/>
    <w:rPr>
      <w:b/>
      <w:bCs/>
      <w:smallCaps/>
      <w:color w:val="0F4761" w:themeColor="accent1" w:themeShade="BF"/>
      <w:spacing w:val="5"/>
    </w:rPr>
  </w:style>
  <w:style w:type="character" w:styleId="Lienhypertexte">
    <w:name w:val="Hyperlink"/>
    <w:basedOn w:val="Policepardfaut"/>
    <w:uiPriority w:val="99"/>
    <w:unhideWhenUsed/>
    <w:rsid w:val="00393957"/>
    <w:rPr>
      <w:color w:val="467886" w:themeColor="hyperlink"/>
      <w:u w:val="single"/>
    </w:rPr>
  </w:style>
  <w:style w:type="character" w:styleId="Mentionnonrsolue">
    <w:name w:val="Unresolved Mention"/>
    <w:basedOn w:val="Policepardfaut"/>
    <w:uiPriority w:val="99"/>
    <w:semiHidden/>
    <w:unhideWhenUsed/>
    <w:rsid w:val="00393957"/>
    <w:rPr>
      <w:color w:val="605E5C"/>
      <w:shd w:val="clear" w:color="auto" w:fill="E1DFDD"/>
    </w:rPr>
  </w:style>
  <w:style w:type="character" w:styleId="Lienhypertextesuivivisit">
    <w:name w:val="FollowedHyperlink"/>
    <w:basedOn w:val="Policepardfaut"/>
    <w:uiPriority w:val="99"/>
    <w:semiHidden/>
    <w:unhideWhenUsed/>
    <w:rsid w:val="00544D2F"/>
    <w:rPr>
      <w:color w:val="96607D" w:themeColor="followedHyperlink"/>
      <w:u w:val="single"/>
    </w:rPr>
  </w:style>
  <w:style w:type="paragraph" w:styleId="En-tte">
    <w:name w:val="header"/>
    <w:basedOn w:val="Normal"/>
    <w:link w:val="En-tteCar"/>
    <w:uiPriority w:val="99"/>
    <w:unhideWhenUsed/>
    <w:rsid w:val="00D43226"/>
    <w:pPr>
      <w:tabs>
        <w:tab w:val="center" w:pos="4536"/>
        <w:tab w:val="right" w:pos="9072"/>
      </w:tabs>
      <w:spacing w:after="0" w:line="240" w:lineRule="auto"/>
    </w:pPr>
  </w:style>
  <w:style w:type="character" w:customStyle="1" w:styleId="En-tteCar">
    <w:name w:val="En-tête Car"/>
    <w:basedOn w:val="Policepardfaut"/>
    <w:link w:val="En-tte"/>
    <w:uiPriority w:val="99"/>
    <w:rsid w:val="00D43226"/>
  </w:style>
  <w:style w:type="paragraph" w:styleId="Pieddepage">
    <w:name w:val="footer"/>
    <w:basedOn w:val="Normal"/>
    <w:link w:val="PieddepageCar"/>
    <w:uiPriority w:val="99"/>
    <w:unhideWhenUsed/>
    <w:rsid w:val="00D432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3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19383">
      <w:bodyDiv w:val="1"/>
      <w:marLeft w:val="0"/>
      <w:marRight w:val="0"/>
      <w:marTop w:val="0"/>
      <w:marBottom w:val="0"/>
      <w:divBdr>
        <w:top w:val="none" w:sz="0" w:space="0" w:color="auto"/>
        <w:left w:val="none" w:sz="0" w:space="0" w:color="auto"/>
        <w:bottom w:val="none" w:sz="0" w:space="0" w:color="auto"/>
        <w:right w:val="none" w:sz="0" w:space="0" w:color="auto"/>
      </w:divBdr>
    </w:div>
    <w:div w:id="1160316382">
      <w:bodyDiv w:val="1"/>
      <w:marLeft w:val="0"/>
      <w:marRight w:val="0"/>
      <w:marTop w:val="0"/>
      <w:marBottom w:val="0"/>
      <w:divBdr>
        <w:top w:val="none" w:sz="0" w:space="0" w:color="auto"/>
        <w:left w:val="none" w:sz="0" w:space="0" w:color="auto"/>
        <w:bottom w:val="none" w:sz="0" w:space="0" w:color="auto"/>
        <w:right w:val="none" w:sz="0" w:space="0" w:color="auto"/>
      </w:divBdr>
    </w:div>
    <w:div w:id="1475441323">
      <w:bodyDiv w:val="1"/>
      <w:marLeft w:val="0"/>
      <w:marRight w:val="0"/>
      <w:marTop w:val="0"/>
      <w:marBottom w:val="0"/>
      <w:divBdr>
        <w:top w:val="none" w:sz="0" w:space="0" w:color="auto"/>
        <w:left w:val="none" w:sz="0" w:space="0" w:color="auto"/>
        <w:bottom w:val="none" w:sz="0" w:space="0" w:color="auto"/>
        <w:right w:val="none" w:sz="0" w:space="0" w:color="auto"/>
      </w:divBdr>
    </w:div>
    <w:div w:id="1615743110">
      <w:bodyDiv w:val="1"/>
      <w:marLeft w:val="0"/>
      <w:marRight w:val="0"/>
      <w:marTop w:val="0"/>
      <w:marBottom w:val="0"/>
      <w:divBdr>
        <w:top w:val="none" w:sz="0" w:space="0" w:color="auto"/>
        <w:left w:val="none" w:sz="0" w:space="0" w:color="auto"/>
        <w:bottom w:val="none" w:sz="0" w:space="0" w:color="auto"/>
        <w:right w:val="none" w:sz="0" w:space="0" w:color="auto"/>
      </w:divBdr>
      <w:divsChild>
        <w:div w:id="40594430">
          <w:marLeft w:val="0"/>
          <w:marRight w:val="0"/>
          <w:marTop w:val="0"/>
          <w:marBottom w:val="0"/>
          <w:divBdr>
            <w:top w:val="none" w:sz="0" w:space="0" w:color="auto"/>
            <w:left w:val="none" w:sz="0" w:space="0" w:color="auto"/>
            <w:bottom w:val="none" w:sz="0" w:space="0" w:color="auto"/>
            <w:right w:val="none" w:sz="0" w:space="0" w:color="auto"/>
          </w:divBdr>
        </w:div>
        <w:div w:id="129712596">
          <w:marLeft w:val="0"/>
          <w:marRight w:val="0"/>
          <w:marTop w:val="0"/>
          <w:marBottom w:val="0"/>
          <w:divBdr>
            <w:top w:val="none" w:sz="0" w:space="0" w:color="auto"/>
            <w:left w:val="none" w:sz="0" w:space="0" w:color="auto"/>
            <w:bottom w:val="none" w:sz="0" w:space="0" w:color="auto"/>
            <w:right w:val="none" w:sz="0" w:space="0" w:color="auto"/>
          </w:divBdr>
        </w:div>
        <w:div w:id="1957176493">
          <w:marLeft w:val="0"/>
          <w:marRight w:val="0"/>
          <w:marTop w:val="0"/>
          <w:marBottom w:val="0"/>
          <w:divBdr>
            <w:top w:val="none" w:sz="0" w:space="0" w:color="auto"/>
            <w:left w:val="none" w:sz="0" w:space="0" w:color="auto"/>
            <w:bottom w:val="none" w:sz="0" w:space="0" w:color="auto"/>
            <w:right w:val="none" w:sz="0" w:space="0" w:color="auto"/>
          </w:divBdr>
        </w:div>
        <w:div w:id="474220083">
          <w:marLeft w:val="0"/>
          <w:marRight w:val="0"/>
          <w:marTop w:val="0"/>
          <w:marBottom w:val="0"/>
          <w:divBdr>
            <w:top w:val="none" w:sz="0" w:space="0" w:color="auto"/>
            <w:left w:val="none" w:sz="0" w:space="0" w:color="auto"/>
            <w:bottom w:val="none" w:sz="0" w:space="0" w:color="auto"/>
            <w:right w:val="none" w:sz="0" w:space="0" w:color="auto"/>
          </w:divBdr>
        </w:div>
        <w:div w:id="1336035547">
          <w:marLeft w:val="0"/>
          <w:marRight w:val="0"/>
          <w:marTop w:val="0"/>
          <w:marBottom w:val="0"/>
          <w:divBdr>
            <w:top w:val="none" w:sz="0" w:space="0" w:color="auto"/>
            <w:left w:val="none" w:sz="0" w:space="0" w:color="auto"/>
            <w:bottom w:val="none" w:sz="0" w:space="0" w:color="auto"/>
            <w:right w:val="none" w:sz="0" w:space="0" w:color="auto"/>
          </w:divBdr>
        </w:div>
        <w:div w:id="349336512">
          <w:marLeft w:val="0"/>
          <w:marRight w:val="0"/>
          <w:marTop w:val="0"/>
          <w:marBottom w:val="0"/>
          <w:divBdr>
            <w:top w:val="none" w:sz="0" w:space="0" w:color="auto"/>
            <w:left w:val="none" w:sz="0" w:space="0" w:color="auto"/>
            <w:bottom w:val="none" w:sz="0" w:space="0" w:color="auto"/>
            <w:right w:val="none" w:sz="0" w:space="0" w:color="auto"/>
          </w:divBdr>
        </w:div>
        <w:div w:id="751972319">
          <w:marLeft w:val="0"/>
          <w:marRight w:val="0"/>
          <w:marTop w:val="0"/>
          <w:marBottom w:val="0"/>
          <w:divBdr>
            <w:top w:val="none" w:sz="0" w:space="0" w:color="auto"/>
            <w:left w:val="none" w:sz="0" w:space="0" w:color="auto"/>
            <w:bottom w:val="none" w:sz="0" w:space="0" w:color="auto"/>
            <w:right w:val="none" w:sz="0" w:space="0" w:color="auto"/>
          </w:divBdr>
        </w:div>
        <w:div w:id="417602524">
          <w:marLeft w:val="0"/>
          <w:marRight w:val="0"/>
          <w:marTop w:val="0"/>
          <w:marBottom w:val="0"/>
          <w:divBdr>
            <w:top w:val="none" w:sz="0" w:space="0" w:color="auto"/>
            <w:left w:val="none" w:sz="0" w:space="0" w:color="auto"/>
            <w:bottom w:val="none" w:sz="0" w:space="0" w:color="auto"/>
            <w:right w:val="none" w:sz="0" w:space="0" w:color="auto"/>
          </w:divBdr>
        </w:div>
        <w:div w:id="1696927577">
          <w:marLeft w:val="0"/>
          <w:marRight w:val="0"/>
          <w:marTop w:val="0"/>
          <w:marBottom w:val="0"/>
          <w:divBdr>
            <w:top w:val="none" w:sz="0" w:space="0" w:color="auto"/>
            <w:left w:val="none" w:sz="0" w:space="0" w:color="auto"/>
            <w:bottom w:val="none" w:sz="0" w:space="0" w:color="auto"/>
            <w:right w:val="none" w:sz="0" w:space="0" w:color="auto"/>
          </w:divBdr>
        </w:div>
        <w:div w:id="1180043121">
          <w:marLeft w:val="0"/>
          <w:marRight w:val="0"/>
          <w:marTop w:val="0"/>
          <w:marBottom w:val="0"/>
          <w:divBdr>
            <w:top w:val="none" w:sz="0" w:space="0" w:color="auto"/>
            <w:left w:val="none" w:sz="0" w:space="0" w:color="auto"/>
            <w:bottom w:val="none" w:sz="0" w:space="0" w:color="auto"/>
            <w:right w:val="none" w:sz="0" w:space="0" w:color="auto"/>
          </w:divBdr>
        </w:div>
        <w:div w:id="1936740240">
          <w:marLeft w:val="0"/>
          <w:marRight w:val="0"/>
          <w:marTop w:val="0"/>
          <w:marBottom w:val="0"/>
          <w:divBdr>
            <w:top w:val="none" w:sz="0" w:space="0" w:color="auto"/>
            <w:left w:val="none" w:sz="0" w:space="0" w:color="auto"/>
            <w:bottom w:val="none" w:sz="0" w:space="0" w:color="auto"/>
            <w:right w:val="none" w:sz="0" w:space="0" w:color="auto"/>
          </w:divBdr>
        </w:div>
        <w:div w:id="1462771072">
          <w:marLeft w:val="0"/>
          <w:marRight w:val="0"/>
          <w:marTop w:val="0"/>
          <w:marBottom w:val="0"/>
          <w:divBdr>
            <w:top w:val="none" w:sz="0" w:space="0" w:color="auto"/>
            <w:left w:val="none" w:sz="0" w:space="0" w:color="auto"/>
            <w:bottom w:val="none" w:sz="0" w:space="0" w:color="auto"/>
            <w:right w:val="none" w:sz="0" w:space="0" w:color="auto"/>
          </w:divBdr>
        </w:div>
        <w:div w:id="1388384289">
          <w:marLeft w:val="0"/>
          <w:marRight w:val="0"/>
          <w:marTop w:val="0"/>
          <w:marBottom w:val="0"/>
          <w:divBdr>
            <w:top w:val="none" w:sz="0" w:space="0" w:color="auto"/>
            <w:left w:val="none" w:sz="0" w:space="0" w:color="auto"/>
            <w:bottom w:val="none" w:sz="0" w:space="0" w:color="auto"/>
            <w:right w:val="none" w:sz="0" w:space="0" w:color="auto"/>
          </w:divBdr>
        </w:div>
        <w:div w:id="1257327083">
          <w:marLeft w:val="0"/>
          <w:marRight w:val="0"/>
          <w:marTop w:val="0"/>
          <w:marBottom w:val="0"/>
          <w:divBdr>
            <w:top w:val="none" w:sz="0" w:space="0" w:color="auto"/>
            <w:left w:val="none" w:sz="0" w:space="0" w:color="auto"/>
            <w:bottom w:val="none" w:sz="0" w:space="0" w:color="auto"/>
            <w:right w:val="none" w:sz="0" w:space="0" w:color="auto"/>
          </w:divBdr>
        </w:div>
        <w:div w:id="1640645973">
          <w:marLeft w:val="0"/>
          <w:marRight w:val="0"/>
          <w:marTop w:val="0"/>
          <w:marBottom w:val="0"/>
          <w:divBdr>
            <w:top w:val="none" w:sz="0" w:space="0" w:color="auto"/>
            <w:left w:val="none" w:sz="0" w:space="0" w:color="auto"/>
            <w:bottom w:val="none" w:sz="0" w:space="0" w:color="auto"/>
            <w:right w:val="none" w:sz="0" w:space="0" w:color="auto"/>
          </w:divBdr>
        </w:div>
        <w:div w:id="1777283711">
          <w:marLeft w:val="0"/>
          <w:marRight w:val="0"/>
          <w:marTop w:val="0"/>
          <w:marBottom w:val="0"/>
          <w:divBdr>
            <w:top w:val="none" w:sz="0" w:space="0" w:color="auto"/>
            <w:left w:val="none" w:sz="0" w:space="0" w:color="auto"/>
            <w:bottom w:val="none" w:sz="0" w:space="0" w:color="auto"/>
            <w:right w:val="none" w:sz="0" w:space="0" w:color="auto"/>
          </w:divBdr>
        </w:div>
        <w:div w:id="1468352044">
          <w:marLeft w:val="0"/>
          <w:marRight w:val="0"/>
          <w:marTop w:val="0"/>
          <w:marBottom w:val="0"/>
          <w:divBdr>
            <w:top w:val="none" w:sz="0" w:space="0" w:color="auto"/>
            <w:left w:val="none" w:sz="0" w:space="0" w:color="auto"/>
            <w:bottom w:val="none" w:sz="0" w:space="0" w:color="auto"/>
            <w:right w:val="none" w:sz="0" w:space="0" w:color="auto"/>
          </w:divBdr>
        </w:div>
        <w:div w:id="769424183">
          <w:marLeft w:val="0"/>
          <w:marRight w:val="0"/>
          <w:marTop w:val="0"/>
          <w:marBottom w:val="0"/>
          <w:divBdr>
            <w:top w:val="none" w:sz="0" w:space="0" w:color="auto"/>
            <w:left w:val="none" w:sz="0" w:space="0" w:color="auto"/>
            <w:bottom w:val="none" w:sz="0" w:space="0" w:color="auto"/>
            <w:right w:val="none" w:sz="0" w:space="0" w:color="auto"/>
          </w:divBdr>
        </w:div>
        <w:div w:id="607389894">
          <w:marLeft w:val="0"/>
          <w:marRight w:val="0"/>
          <w:marTop w:val="0"/>
          <w:marBottom w:val="0"/>
          <w:divBdr>
            <w:top w:val="none" w:sz="0" w:space="0" w:color="auto"/>
            <w:left w:val="none" w:sz="0" w:space="0" w:color="auto"/>
            <w:bottom w:val="none" w:sz="0" w:space="0" w:color="auto"/>
            <w:right w:val="none" w:sz="0" w:space="0" w:color="auto"/>
          </w:divBdr>
        </w:div>
        <w:div w:id="831749757">
          <w:marLeft w:val="0"/>
          <w:marRight w:val="0"/>
          <w:marTop w:val="0"/>
          <w:marBottom w:val="0"/>
          <w:divBdr>
            <w:top w:val="none" w:sz="0" w:space="0" w:color="auto"/>
            <w:left w:val="none" w:sz="0" w:space="0" w:color="auto"/>
            <w:bottom w:val="none" w:sz="0" w:space="0" w:color="auto"/>
            <w:right w:val="none" w:sz="0" w:space="0" w:color="auto"/>
          </w:divBdr>
        </w:div>
        <w:div w:id="477841701">
          <w:marLeft w:val="0"/>
          <w:marRight w:val="0"/>
          <w:marTop w:val="0"/>
          <w:marBottom w:val="0"/>
          <w:divBdr>
            <w:top w:val="none" w:sz="0" w:space="0" w:color="auto"/>
            <w:left w:val="none" w:sz="0" w:space="0" w:color="auto"/>
            <w:bottom w:val="none" w:sz="0" w:space="0" w:color="auto"/>
            <w:right w:val="none" w:sz="0" w:space="0" w:color="auto"/>
          </w:divBdr>
        </w:div>
        <w:div w:id="719716721">
          <w:marLeft w:val="0"/>
          <w:marRight w:val="0"/>
          <w:marTop w:val="0"/>
          <w:marBottom w:val="0"/>
          <w:divBdr>
            <w:top w:val="none" w:sz="0" w:space="0" w:color="auto"/>
            <w:left w:val="none" w:sz="0" w:space="0" w:color="auto"/>
            <w:bottom w:val="none" w:sz="0" w:space="0" w:color="auto"/>
            <w:right w:val="none" w:sz="0" w:space="0" w:color="auto"/>
          </w:divBdr>
        </w:div>
        <w:div w:id="1454249858">
          <w:marLeft w:val="0"/>
          <w:marRight w:val="0"/>
          <w:marTop w:val="0"/>
          <w:marBottom w:val="0"/>
          <w:divBdr>
            <w:top w:val="none" w:sz="0" w:space="0" w:color="auto"/>
            <w:left w:val="none" w:sz="0" w:space="0" w:color="auto"/>
            <w:bottom w:val="none" w:sz="0" w:space="0" w:color="auto"/>
            <w:right w:val="none" w:sz="0" w:space="0" w:color="auto"/>
          </w:divBdr>
        </w:div>
        <w:div w:id="1981840414">
          <w:marLeft w:val="0"/>
          <w:marRight w:val="0"/>
          <w:marTop w:val="0"/>
          <w:marBottom w:val="0"/>
          <w:divBdr>
            <w:top w:val="none" w:sz="0" w:space="0" w:color="auto"/>
            <w:left w:val="none" w:sz="0" w:space="0" w:color="auto"/>
            <w:bottom w:val="none" w:sz="0" w:space="0" w:color="auto"/>
            <w:right w:val="none" w:sz="0" w:space="0" w:color="auto"/>
          </w:divBdr>
        </w:div>
        <w:div w:id="738556395">
          <w:marLeft w:val="0"/>
          <w:marRight w:val="0"/>
          <w:marTop w:val="0"/>
          <w:marBottom w:val="0"/>
          <w:divBdr>
            <w:top w:val="none" w:sz="0" w:space="0" w:color="auto"/>
            <w:left w:val="none" w:sz="0" w:space="0" w:color="auto"/>
            <w:bottom w:val="none" w:sz="0" w:space="0" w:color="auto"/>
            <w:right w:val="none" w:sz="0" w:space="0" w:color="auto"/>
          </w:divBdr>
        </w:div>
        <w:div w:id="1416701913">
          <w:marLeft w:val="0"/>
          <w:marRight w:val="0"/>
          <w:marTop w:val="0"/>
          <w:marBottom w:val="0"/>
          <w:divBdr>
            <w:top w:val="none" w:sz="0" w:space="0" w:color="auto"/>
            <w:left w:val="none" w:sz="0" w:space="0" w:color="auto"/>
            <w:bottom w:val="none" w:sz="0" w:space="0" w:color="auto"/>
            <w:right w:val="none" w:sz="0" w:space="0" w:color="auto"/>
          </w:divBdr>
        </w:div>
        <w:div w:id="830103346">
          <w:marLeft w:val="0"/>
          <w:marRight w:val="0"/>
          <w:marTop w:val="0"/>
          <w:marBottom w:val="0"/>
          <w:divBdr>
            <w:top w:val="none" w:sz="0" w:space="0" w:color="auto"/>
            <w:left w:val="none" w:sz="0" w:space="0" w:color="auto"/>
            <w:bottom w:val="none" w:sz="0" w:space="0" w:color="auto"/>
            <w:right w:val="none" w:sz="0" w:space="0" w:color="auto"/>
          </w:divBdr>
        </w:div>
        <w:div w:id="798181401">
          <w:marLeft w:val="0"/>
          <w:marRight w:val="0"/>
          <w:marTop w:val="0"/>
          <w:marBottom w:val="0"/>
          <w:divBdr>
            <w:top w:val="none" w:sz="0" w:space="0" w:color="auto"/>
            <w:left w:val="none" w:sz="0" w:space="0" w:color="auto"/>
            <w:bottom w:val="none" w:sz="0" w:space="0" w:color="auto"/>
            <w:right w:val="none" w:sz="0" w:space="0" w:color="auto"/>
          </w:divBdr>
        </w:div>
        <w:div w:id="1936279648">
          <w:marLeft w:val="0"/>
          <w:marRight w:val="0"/>
          <w:marTop w:val="0"/>
          <w:marBottom w:val="0"/>
          <w:divBdr>
            <w:top w:val="none" w:sz="0" w:space="0" w:color="auto"/>
            <w:left w:val="none" w:sz="0" w:space="0" w:color="auto"/>
            <w:bottom w:val="none" w:sz="0" w:space="0" w:color="auto"/>
            <w:right w:val="none" w:sz="0" w:space="0" w:color="auto"/>
          </w:divBdr>
        </w:div>
        <w:div w:id="389500913">
          <w:marLeft w:val="0"/>
          <w:marRight w:val="0"/>
          <w:marTop w:val="0"/>
          <w:marBottom w:val="0"/>
          <w:divBdr>
            <w:top w:val="none" w:sz="0" w:space="0" w:color="auto"/>
            <w:left w:val="none" w:sz="0" w:space="0" w:color="auto"/>
            <w:bottom w:val="none" w:sz="0" w:space="0" w:color="auto"/>
            <w:right w:val="none" w:sz="0" w:space="0" w:color="auto"/>
          </w:divBdr>
        </w:div>
      </w:divsChild>
    </w:div>
    <w:div w:id="1618179541">
      <w:bodyDiv w:val="1"/>
      <w:marLeft w:val="0"/>
      <w:marRight w:val="0"/>
      <w:marTop w:val="0"/>
      <w:marBottom w:val="0"/>
      <w:divBdr>
        <w:top w:val="none" w:sz="0" w:space="0" w:color="auto"/>
        <w:left w:val="none" w:sz="0" w:space="0" w:color="auto"/>
        <w:bottom w:val="none" w:sz="0" w:space="0" w:color="auto"/>
        <w:right w:val="none" w:sz="0" w:space="0" w:color="auto"/>
      </w:divBdr>
      <w:divsChild>
        <w:div w:id="1776360313">
          <w:marLeft w:val="0"/>
          <w:marRight w:val="0"/>
          <w:marTop w:val="0"/>
          <w:marBottom w:val="0"/>
          <w:divBdr>
            <w:top w:val="none" w:sz="0" w:space="0" w:color="auto"/>
            <w:left w:val="none" w:sz="0" w:space="0" w:color="auto"/>
            <w:bottom w:val="none" w:sz="0" w:space="0" w:color="auto"/>
            <w:right w:val="none" w:sz="0" w:space="0" w:color="auto"/>
          </w:divBdr>
        </w:div>
        <w:div w:id="1970091566">
          <w:marLeft w:val="0"/>
          <w:marRight w:val="0"/>
          <w:marTop w:val="0"/>
          <w:marBottom w:val="0"/>
          <w:divBdr>
            <w:top w:val="none" w:sz="0" w:space="0" w:color="auto"/>
            <w:left w:val="none" w:sz="0" w:space="0" w:color="auto"/>
            <w:bottom w:val="none" w:sz="0" w:space="0" w:color="auto"/>
            <w:right w:val="none" w:sz="0" w:space="0" w:color="auto"/>
          </w:divBdr>
        </w:div>
        <w:div w:id="343871281">
          <w:marLeft w:val="0"/>
          <w:marRight w:val="0"/>
          <w:marTop w:val="0"/>
          <w:marBottom w:val="0"/>
          <w:divBdr>
            <w:top w:val="none" w:sz="0" w:space="0" w:color="auto"/>
            <w:left w:val="none" w:sz="0" w:space="0" w:color="auto"/>
            <w:bottom w:val="none" w:sz="0" w:space="0" w:color="auto"/>
            <w:right w:val="none" w:sz="0" w:space="0" w:color="auto"/>
          </w:divBdr>
        </w:div>
        <w:div w:id="1627588127">
          <w:marLeft w:val="0"/>
          <w:marRight w:val="0"/>
          <w:marTop w:val="0"/>
          <w:marBottom w:val="0"/>
          <w:divBdr>
            <w:top w:val="none" w:sz="0" w:space="0" w:color="auto"/>
            <w:left w:val="none" w:sz="0" w:space="0" w:color="auto"/>
            <w:bottom w:val="none" w:sz="0" w:space="0" w:color="auto"/>
            <w:right w:val="none" w:sz="0" w:space="0" w:color="auto"/>
          </w:divBdr>
        </w:div>
        <w:div w:id="1347101487">
          <w:marLeft w:val="0"/>
          <w:marRight w:val="0"/>
          <w:marTop w:val="0"/>
          <w:marBottom w:val="0"/>
          <w:divBdr>
            <w:top w:val="none" w:sz="0" w:space="0" w:color="auto"/>
            <w:left w:val="none" w:sz="0" w:space="0" w:color="auto"/>
            <w:bottom w:val="none" w:sz="0" w:space="0" w:color="auto"/>
            <w:right w:val="none" w:sz="0" w:space="0" w:color="auto"/>
          </w:divBdr>
        </w:div>
        <w:div w:id="1393457732">
          <w:marLeft w:val="0"/>
          <w:marRight w:val="0"/>
          <w:marTop w:val="0"/>
          <w:marBottom w:val="0"/>
          <w:divBdr>
            <w:top w:val="none" w:sz="0" w:space="0" w:color="auto"/>
            <w:left w:val="none" w:sz="0" w:space="0" w:color="auto"/>
            <w:bottom w:val="none" w:sz="0" w:space="0" w:color="auto"/>
            <w:right w:val="none" w:sz="0" w:space="0" w:color="auto"/>
          </w:divBdr>
        </w:div>
        <w:div w:id="549538186">
          <w:marLeft w:val="0"/>
          <w:marRight w:val="0"/>
          <w:marTop w:val="0"/>
          <w:marBottom w:val="0"/>
          <w:divBdr>
            <w:top w:val="none" w:sz="0" w:space="0" w:color="auto"/>
            <w:left w:val="none" w:sz="0" w:space="0" w:color="auto"/>
            <w:bottom w:val="none" w:sz="0" w:space="0" w:color="auto"/>
            <w:right w:val="none" w:sz="0" w:space="0" w:color="auto"/>
          </w:divBdr>
        </w:div>
        <w:div w:id="1634795563">
          <w:marLeft w:val="0"/>
          <w:marRight w:val="0"/>
          <w:marTop w:val="0"/>
          <w:marBottom w:val="0"/>
          <w:divBdr>
            <w:top w:val="none" w:sz="0" w:space="0" w:color="auto"/>
            <w:left w:val="none" w:sz="0" w:space="0" w:color="auto"/>
            <w:bottom w:val="none" w:sz="0" w:space="0" w:color="auto"/>
            <w:right w:val="none" w:sz="0" w:space="0" w:color="auto"/>
          </w:divBdr>
        </w:div>
        <w:div w:id="1725179802">
          <w:marLeft w:val="0"/>
          <w:marRight w:val="0"/>
          <w:marTop w:val="0"/>
          <w:marBottom w:val="0"/>
          <w:divBdr>
            <w:top w:val="none" w:sz="0" w:space="0" w:color="auto"/>
            <w:left w:val="none" w:sz="0" w:space="0" w:color="auto"/>
            <w:bottom w:val="none" w:sz="0" w:space="0" w:color="auto"/>
            <w:right w:val="none" w:sz="0" w:space="0" w:color="auto"/>
          </w:divBdr>
        </w:div>
        <w:div w:id="1086414575">
          <w:marLeft w:val="0"/>
          <w:marRight w:val="0"/>
          <w:marTop w:val="0"/>
          <w:marBottom w:val="0"/>
          <w:divBdr>
            <w:top w:val="none" w:sz="0" w:space="0" w:color="auto"/>
            <w:left w:val="none" w:sz="0" w:space="0" w:color="auto"/>
            <w:bottom w:val="none" w:sz="0" w:space="0" w:color="auto"/>
            <w:right w:val="none" w:sz="0" w:space="0" w:color="auto"/>
          </w:divBdr>
        </w:div>
        <w:div w:id="653949938">
          <w:marLeft w:val="0"/>
          <w:marRight w:val="0"/>
          <w:marTop w:val="0"/>
          <w:marBottom w:val="0"/>
          <w:divBdr>
            <w:top w:val="none" w:sz="0" w:space="0" w:color="auto"/>
            <w:left w:val="none" w:sz="0" w:space="0" w:color="auto"/>
            <w:bottom w:val="none" w:sz="0" w:space="0" w:color="auto"/>
            <w:right w:val="none" w:sz="0" w:space="0" w:color="auto"/>
          </w:divBdr>
        </w:div>
        <w:div w:id="812214071">
          <w:marLeft w:val="0"/>
          <w:marRight w:val="0"/>
          <w:marTop w:val="0"/>
          <w:marBottom w:val="0"/>
          <w:divBdr>
            <w:top w:val="none" w:sz="0" w:space="0" w:color="auto"/>
            <w:left w:val="none" w:sz="0" w:space="0" w:color="auto"/>
            <w:bottom w:val="none" w:sz="0" w:space="0" w:color="auto"/>
            <w:right w:val="none" w:sz="0" w:space="0" w:color="auto"/>
          </w:divBdr>
        </w:div>
        <w:div w:id="1444568526">
          <w:marLeft w:val="0"/>
          <w:marRight w:val="0"/>
          <w:marTop w:val="0"/>
          <w:marBottom w:val="0"/>
          <w:divBdr>
            <w:top w:val="none" w:sz="0" w:space="0" w:color="auto"/>
            <w:left w:val="none" w:sz="0" w:space="0" w:color="auto"/>
            <w:bottom w:val="none" w:sz="0" w:space="0" w:color="auto"/>
            <w:right w:val="none" w:sz="0" w:space="0" w:color="auto"/>
          </w:divBdr>
        </w:div>
        <w:div w:id="1363433952">
          <w:marLeft w:val="0"/>
          <w:marRight w:val="0"/>
          <w:marTop w:val="0"/>
          <w:marBottom w:val="0"/>
          <w:divBdr>
            <w:top w:val="none" w:sz="0" w:space="0" w:color="auto"/>
            <w:left w:val="none" w:sz="0" w:space="0" w:color="auto"/>
            <w:bottom w:val="none" w:sz="0" w:space="0" w:color="auto"/>
            <w:right w:val="none" w:sz="0" w:space="0" w:color="auto"/>
          </w:divBdr>
        </w:div>
        <w:div w:id="94056048">
          <w:marLeft w:val="0"/>
          <w:marRight w:val="0"/>
          <w:marTop w:val="0"/>
          <w:marBottom w:val="0"/>
          <w:divBdr>
            <w:top w:val="none" w:sz="0" w:space="0" w:color="auto"/>
            <w:left w:val="none" w:sz="0" w:space="0" w:color="auto"/>
            <w:bottom w:val="none" w:sz="0" w:space="0" w:color="auto"/>
            <w:right w:val="none" w:sz="0" w:space="0" w:color="auto"/>
          </w:divBdr>
        </w:div>
        <w:div w:id="148325713">
          <w:marLeft w:val="0"/>
          <w:marRight w:val="0"/>
          <w:marTop w:val="0"/>
          <w:marBottom w:val="0"/>
          <w:divBdr>
            <w:top w:val="none" w:sz="0" w:space="0" w:color="auto"/>
            <w:left w:val="none" w:sz="0" w:space="0" w:color="auto"/>
            <w:bottom w:val="none" w:sz="0" w:space="0" w:color="auto"/>
            <w:right w:val="none" w:sz="0" w:space="0" w:color="auto"/>
          </w:divBdr>
        </w:div>
        <w:div w:id="1131630094">
          <w:marLeft w:val="0"/>
          <w:marRight w:val="0"/>
          <w:marTop w:val="0"/>
          <w:marBottom w:val="0"/>
          <w:divBdr>
            <w:top w:val="none" w:sz="0" w:space="0" w:color="auto"/>
            <w:left w:val="none" w:sz="0" w:space="0" w:color="auto"/>
            <w:bottom w:val="none" w:sz="0" w:space="0" w:color="auto"/>
            <w:right w:val="none" w:sz="0" w:space="0" w:color="auto"/>
          </w:divBdr>
        </w:div>
        <w:div w:id="252130492">
          <w:marLeft w:val="0"/>
          <w:marRight w:val="0"/>
          <w:marTop w:val="0"/>
          <w:marBottom w:val="0"/>
          <w:divBdr>
            <w:top w:val="none" w:sz="0" w:space="0" w:color="auto"/>
            <w:left w:val="none" w:sz="0" w:space="0" w:color="auto"/>
            <w:bottom w:val="none" w:sz="0" w:space="0" w:color="auto"/>
            <w:right w:val="none" w:sz="0" w:space="0" w:color="auto"/>
          </w:divBdr>
        </w:div>
        <w:div w:id="640771738">
          <w:marLeft w:val="0"/>
          <w:marRight w:val="0"/>
          <w:marTop w:val="0"/>
          <w:marBottom w:val="0"/>
          <w:divBdr>
            <w:top w:val="none" w:sz="0" w:space="0" w:color="auto"/>
            <w:left w:val="none" w:sz="0" w:space="0" w:color="auto"/>
            <w:bottom w:val="none" w:sz="0" w:space="0" w:color="auto"/>
            <w:right w:val="none" w:sz="0" w:space="0" w:color="auto"/>
          </w:divBdr>
        </w:div>
        <w:div w:id="1250623720">
          <w:marLeft w:val="0"/>
          <w:marRight w:val="0"/>
          <w:marTop w:val="0"/>
          <w:marBottom w:val="0"/>
          <w:divBdr>
            <w:top w:val="none" w:sz="0" w:space="0" w:color="auto"/>
            <w:left w:val="none" w:sz="0" w:space="0" w:color="auto"/>
            <w:bottom w:val="none" w:sz="0" w:space="0" w:color="auto"/>
            <w:right w:val="none" w:sz="0" w:space="0" w:color="auto"/>
          </w:divBdr>
        </w:div>
        <w:div w:id="1345402303">
          <w:marLeft w:val="0"/>
          <w:marRight w:val="0"/>
          <w:marTop w:val="0"/>
          <w:marBottom w:val="0"/>
          <w:divBdr>
            <w:top w:val="none" w:sz="0" w:space="0" w:color="auto"/>
            <w:left w:val="none" w:sz="0" w:space="0" w:color="auto"/>
            <w:bottom w:val="none" w:sz="0" w:space="0" w:color="auto"/>
            <w:right w:val="none" w:sz="0" w:space="0" w:color="auto"/>
          </w:divBdr>
        </w:div>
        <w:div w:id="2010329396">
          <w:marLeft w:val="0"/>
          <w:marRight w:val="0"/>
          <w:marTop w:val="0"/>
          <w:marBottom w:val="0"/>
          <w:divBdr>
            <w:top w:val="none" w:sz="0" w:space="0" w:color="auto"/>
            <w:left w:val="none" w:sz="0" w:space="0" w:color="auto"/>
            <w:bottom w:val="none" w:sz="0" w:space="0" w:color="auto"/>
            <w:right w:val="none" w:sz="0" w:space="0" w:color="auto"/>
          </w:divBdr>
        </w:div>
        <w:div w:id="652951455">
          <w:marLeft w:val="0"/>
          <w:marRight w:val="0"/>
          <w:marTop w:val="0"/>
          <w:marBottom w:val="0"/>
          <w:divBdr>
            <w:top w:val="none" w:sz="0" w:space="0" w:color="auto"/>
            <w:left w:val="none" w:sz="0" w:space="0" w:color="auto"/>
            <w:bottom w:val="none" w:sz="0" w:space="0" w:color="auto"/>
            <w:right w:val="none" w:sz="0" w:space="0" w:color="auto"/>
          </w:divBdr>
        </w:div>
        <w:div w:id="1258517564">
          <w:marLeft w:val="0"/>
          <w:marRight w:val="0"/>
          <w:marTop w:val="0"/>
          <w:marBottom w:val="0"/>
          <w:divBdr>
            <w:top w:val="none" w:sz="0" w:space="0" w:color="auto"/>
            <w:left w:val="none" w:sz="0" w:space="0" w:color="auto"/>
            <w:bottom w:val="none" w:sz="0" w:space="0" w:color="auto"/>
            <w:right w:val="none" w:sz="0" w:space="0" w:color="auto"/>
          </w:divBdr>
        </w:div>
        <w:div w:id="1382365176">
          <w:marLeft w:val="0"/>
          <w:marRight w:val="0"/>
          <w:marTop w:val="0"/>
          <w:marBottom w:val="0"/>
          <w:divBdr>
            <w:top w:val="none" w:sz="0" w:space="0" w:color="auto"/>
            <w:left w:val="none" w:sz="0" w:space="0" w:color="auto"/>
            <w:bottom w:val="none" w:sz="0" w:space="0" w:color="auto"/>
            <w:right w:val="none" w:sz="0" w:space="0" w:color="auto"/>
          </w:divBdr>
        </w:div>
        <w:div w:id="1303460746">
          <w:marLeft w:val="0"/>
          <w:marRight w:val="0"/>
          <w:marTop w:val="0"/>
          <w:marBottom w:val="0"/>
          <w:divBdr>
            <w:top w:val="none" w:sz="0" w:space="0" w:color="auto"/>
            <w:left w:val="none" w:sz="0" w:space="0" w:color="auto"/>
            <w:bottom w:val="none" w:sz="0" w:space="0" w:color="auto"/>
            <w:right w:val="none" w:sz="0" w:space="0" w:color="auto"/>
          </w:divBdr>
        </w:div>
        <w:div w:id="938029898">
          <w:marLeft w:val="0"/>
          <w:marRight w:val="0"/>
          <w:marTop w:val="0"/>
          <w:marBottom w:val="0"/>
          <w:divBdr>
            <w:top w:val="none" w:sz="0" w:space="0" w:color="auto"/>
            <w:left w:val="none" w:sz="0" w:space="0" w:color="auto"/>
            <w:bottom w:val="none" w:sz="0" w:space="0" w:color="auto"/>
            <w:right w:val="none" w:sz="0" w:space="0" w:color="auto"/>
          </w:divBdr>
        </w:div>
        <w:div w:id="653531532">
          <w:marLeft w:val="0"/>
          <w:marRight w:val="0"/>
          <w:marTop w:val="0"/>
          <w:marBottom w:val="0"/>
          <w:divBdr>
            <w:top w:val="none" w:sz="0" w:space="0" w:color="auto"/>
            <w:left w:val="none" w:sz="0" w:space="0" w:color="auto"/>
            <w:bottom w:val="none" w:sz="0" w:space="0" w:color="auto"/>
            <w:right w:val="none" w:sz="0" w:space="0" w:color="auto"/>
          </w:divBdr>
        </w:div>
        <w:div w:id="759184346">
          <w:marLeft w:val="0"/>
          <w:marRight w:val="0"/>
          <w:marTop w:val="0"/>
          <w:marBottom w:val="0"/>
          <w:divBdr>
            <w:top w:val="none" w:sz="0" w:space="0" w:color="auto"/>
            <w:left w:val="none" w:sz="0" w:space="0" w:color="auto"/>
            <w:bottom w:val="none" w:sz="0" w:space="0" w:color="auto"/>
            <w:right w:val="none" w:sz="0" w:space="0" w:color="auto"/>
          </w:divBdr>
        </w:div>
        <w:div w:id="1171456803">
          <w:marLeft w:val="0"/>
          <w:marRight w:val="0"/>
          <w:marTop w:val="0"/>
          <w:marBottom w:val="0"/>
          <w:divBdr>
            <w:top w:val="none" w:sz="0" w:space="0" w:color="auto"/>
            <w:left w:val="none" w:sz="0" w:space="0" w:color="auto"/>
            <w:bottom w:val="none" w:sz="0" w:space="0" w:color="auto"/>
            <w:right w:val="none" w:sz="0" w:space="0" w:color="auto"/>
          </w:divBdr>
        </w:div>
      </w:divsChild>
    </w:div>
    <w:div w:id="21316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7024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Nicolas (ENGIE R&amp;I)</dc:creator>
  <cp:keywords/>
  <dc:description/>
  <cp:lastModifiedBy>HATEM Nicolas (ENGIE R&amp;I)</cp:lastModifiedBy>
  <cp:revision>305</cp:revision>
  <dcterms:created xsi:type="dcterms:W3CDTF">2024-11-19T11:30:00Z</dcterms:created>
  <dcterms:modified xsi:type="dcterms:W3CDTF">2025-02-18T12:13:00Z</dcterms:modified>
</cp:coreProperties>
</file>